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mcmap-glossary-and-terminology-reference"/>
    <w:p>
      <w:pPr>
        <w:pStyle w:val="Heading1"/>
        <w:keepNext/>
        <w:keepLines/>
      </w:pPr>
      <w:r>
        <w:rPr>
          <w:color w:val="FF5F00"/>
        </w:rPr>
        <w:t xml:space="preserve">MCMAP GLOSSARY AND TERMINOLOGY REFERENCE</w:t>
      </w:r>
    </w:p>
    <w:p>
      <w:pPr>
        <w:pStyle w:val="FirstParagraph"/>
      </w:pPr>
      <w:r>
        <w:t xml:space="preserve">This document provides definitions for all acronyms, terms, and concepts used across MCMAP documentation.</w:t>
      </w:r>
    </w:p>
    <w:p>
      <w:r>
        <w:pict>
          <v:rect style="width:0;height:1.5pt" o:hralign="center" o:hrstd="t" o:hr="t"/>
        </w:pict>
      </w:r>
    </w:p>
    <w:bookmarkStart w:id="18" w:name="agent-codes"/>
    <w:p>
      <w:pPr>
        <w:pStyle w:val="Heading2"/>
        <w:pageBreakBefore/>
        <w:keepNext/>
        <w:keepLines/>
      </w:pPr>
      <w:r>
        <w:rPr>
          <w:color w:val="FF5F00"/>
        </w:rPr>
        <w:t xml:space="preserve">AGENT CODES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8" w:space="0" w:color="404040"/>
          <w:bottom w:val="single" w:sz="8" w:space="0" w:color="404040"/>
          <w:left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900"/>
        <w:gridCol w:w="1900"/>
        <w:gridCol w:w="4118"/>
      </w:tblGrid>
      <w:tr>
        <w:trPr>
          <w:tblHeader w:val="on"/>
        </w:trPr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Code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Name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Description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ANL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Analytics Agent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Budget projections, forecasting, ROI calculations, scenario modeling, statistical validation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AUD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Audience Agent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Segmentation, LTV modeling, propensity scoring, identity resolution, targeting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CA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Consulting Analysis Agent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Business case development, strategic analysis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CHA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Channel Agent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Media mix optimization, channel selection, benchmarking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CHG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Change Management Agent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Adoption planning, stakeholder mapping, readiness assessment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CST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Consulting Strategy Agent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Framework selection, RICE/MoSCoW prioritization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DOC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Document Agent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Report generation, deliverable creation, template management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DOCS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Documentation Assistant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Architecture discovery, terminology lookup (this agent)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MKT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Marketing Agent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Campaign strategy, creative briefs, competitive intelligence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ORC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Orchestrator Agent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Intent routing, session management, agent coordination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PRF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Performance Agent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Attribution modeling, anomaly detection, optimization recommendations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SPO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Supply Path Optimization Agent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Programmatic optimization, fee analysis, working media ratio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platform-acronyms"/>
    <w:p>
      <w:pPr>
        <w:pStyle w:val="Heading2"/>
        <w:pageBreakBefore/>
        <w:keepNext/>
        <w:keepLines/>
      </w:pPr>
      <w:r>
        <w:rPr>
          <w:color w:val="FF5F00"/>
        </w:rPr>
        <w:t xml:space="preserve">PLATFORM ACRONYMS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8" w:space="0" w:color="404040"/>
          <w:bottom w:val="single" w:sz="8" w:space="0" w:color="404040"/>
          <w:left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227"/>
        <w:gridCol w:w="2722"/>
        <w:gridCol w:w="2970"/>
      </w:tblGrid>
      <w:tr>
        <w:trPr>
          <w:tblHeader w:val="on"/>
        </w:trPr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Acronym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Full Name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Definition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CAL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Capability Abstraction Layer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Architecture pattern that separates capability definitions from implementations, enabling portability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DLP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Data Loss Prevention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Mastercard security policies controlling data flow and connector usage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EAP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Enterprise Agent Platform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Shared infrastructure layer supporting all MCMAP agents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KB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Knowledge Base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Document collection providing domain expertise to agents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MCMAP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Mastercard Consulting &amp; Marketing Agent Platform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Full platform name encompassing all agents and capabilities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MPA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Media Planning Agent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Primary workflow agent for media planning; also refers to the media planning domain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ORC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Orchestrator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Central routing and coordination agent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RAG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Retrieval-Augmented Generation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Pattern where AI retrieves relevant documents before generating responses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20" w:name="technology-terms"/>
    <w:p>
      <w:pPr>
        <w:pStyle w:val="Heading2"/>
        <w:pageBreakBefore/>
        <w:keepNext/>
        <w:keepLines/>
      </w:pPr>
      <w:r>
        <w:rPr>
          <w:color w:val="FF5F00"/>
        </w:rPr>
        <w:t xml:space="preserve">TECHNOLOGY TERMS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8" w:space="0" w:color="404040"/>
          <w:bottom w:val="single" w:sz="8" w:space="0" w:color="404040"/>
          <w:left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640"/>
        <w:gridCol w:w="5280"/>
      </w:tblGrid>
      <w:tr>
        <w:trPr>
          <w:tblHeader w:val="on"/>
        </w:trPr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Term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Definition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AI Builder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Microsoft’s low-code AI service for creating custom prompts and models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Capability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Discrete computational function that agents can invoke (e.g., ANL_MARGINAL_RETURN)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Capability Dispatcher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Flow that routes capability requests to appropriate implementations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Copilot Studio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Microsoft’s conversational AI platform for building agents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Dataverse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Microsoft’s database platform for Power Platform applications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Power Automate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Microsoft’s workflow automation service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SharePoint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Microsoft’s document management platform hosting MCMAP knowledge bases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Topic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Copilot Studio conversation unit that handles specific user intents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metrics-and-kpis"/>
    <w:p>
      <w:pPr>
        <w:pStyle w:val="Heading2"/>
        <w:pageBreakBefore/>
        <w:keepNext/>
        <w:keepLines/>
      </w:pPr>
      <w:r>
        <w:rPr>
          <w:color w:val="FF5F00"/>
        </w:rPr>
        <w:t xml:space="preserve">METRICS AND KPIs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8" w:space="0" w:color="404040"/>
          <w:bottom w:val="single" w:sz="8" w:space="0" w:color="404040"/>
          <w:left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640"/>
        <w:gridCol w:w="5280"/>
      </w:tblGrid>
      <w:tr>
        <w:trPr>
          <w:tblHeader w:val="on"/>
        </w:trPr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Term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Definition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CAC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Customer Acquisition Cost - total cost to acquire one customer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CPA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Cost Per Acquisition - cost per conversion action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CPC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Cost Per Click - cost for each ad click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CPM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Cost Per Thousand Impressions - cost per 1,000 ad views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CTR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Click-Through Rate - percentage of impressions that result in clicks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Incrementality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True causal impact of marketing, measuring lift vs. what would have happened anyway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LTV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Lifetime Value - total expected revenue from a customer relationship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NBI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Net Bidder Impact - programmatic metric measuring true media value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ROAS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Return on Ad Spend - revenue generated per dollar of ad spend (note: MCMAP challenges this as primary KPI)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ROI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Return on Investment - general measure of investment efficiency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Working Media Ratio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Percentage of media budget reaching actual impressions vs. fees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consulting-frameworks"/>
    <w:p>
      <w:pPr>
        <w:pStyle w:val="Heading2"/>
        <w:pageBreakBefore/>
        <w:keepNext/>
        <w:keepLines/>
      </w:pPr>
      <w:r>
        <w:rPr>
          <w:color w:val="FF5F00"/>
        </w:rPr>
        <w:t xml:space="preserve">CONSULTING FRAMEWORKS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8" w:space="0" w:color="404040"/>
          <w:bottom w:val="single" w:sz="8" w:space="0" w:color="404040"/>
          <w:left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124"/>
        <w:gridCol w:w="2511"/>
        <w:gridCol w:w="1352"/>
        <w:gridCol w:w="1931"/>
      </w:tblGrid>
      <w:tr>
        <w:trPr>
          <w:tblHeader w:val="on"/>
        </w:trPr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Framework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Description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Agent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Use Case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rPr>
                <w:b/>
                <w:bCs/>
              </w:rPr>
              <w:t xml:space="preserve">ADKAR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Change management model: Awareness, Desire, Knowledge, Ability, Reinforcement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CHG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Organizational change readiness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rPr>
                <w:b/>
                <w:bCs/>
              </w:rPr>
              <w:t xml:space="preserve">BCG Matrix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Boston Consulting Group portfolio analysis (Stars, Cash Cows, Dogs, Question Marks)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CST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Product/investment prioritization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rPr>
                <w:b/>
                <w:bCs/>
              </w:rPr>
              <w:t xml:space="preserve">Blue Ocean Strategy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Creating uncontested market space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CST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Market positioning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rPr>
                <w:b/>
                <w:bCs/>
              </w:rPr>
              <w:t xml:space="preserve">Competitive Forces (Porter’s Five)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Industry competition analysis framework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CST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Competitive analysis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rPr>
                <w:b/>
                <w:bCs/>
              </w:rPr>
              <w:t xml:space="preserve">Customer Journey Mapping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End-to-end customer experience visualization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AUD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Customer experience design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rPr>
                <w:b/>
                <w:bCs/>
              </w:rPr>
              <w:t xml:space="preserve">DMAIC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Six Sigma improvement: Define, Measure, Analyze, Improve, Control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CA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Process optimization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rPr>
                <w:b/>
                <w:bCs/>
              </w:rPr>
              <w:t xml:space="preserve">Jobs-to-be-Done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Customer motivation framework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AUD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Product development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rPr>
                <w:b/>
                <w:bCs/>
              </w:rPr>
              <w:t xml:space="preserve">Kotter 8-Step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Change management process from urgency through anchoring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CHG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Large-scale transformation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rPr>
                <w:b/>
                <w:bCs/>
              </w:rPr>
              <w:t xml:space="preserve">McKinsey 7S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Organizational alignment: Strategy, Structure, Systems, Shared Values, Style, Staff, Skills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CST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Organizational design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rPr>
                <w:b/>
                <w:bCs/>
              </w:rPr>
              <w:t xml:space="preserve">MoSCoW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Prioritization: Must have, Should have, Could have, Won’t have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CST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Requirements prioritization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rPr>
                <w:b/>
                <w:bCs/>
              </w:rPr>
              <w:t xml:space="preserve">OKRs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Objectives and Key Results goal-setting framework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CST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Performance management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rPr>
                <w:b/>
                <w:bCs/>
              </w:rPr>
              <w:t xml:space="preserve">PESTEL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Environmental analysis: Political, Economic, Social, Technological, Environmental, Legal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CST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Market analysis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rPr>
                <w:b/>
                <w:bCs/>
              </w:rPr>
              <w:t xml:space="preserve">RACI Matrix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Responsibility assignment: Responsible, Accountable, Consulted, Informed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CHG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Role clarity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rPr>
                <w:b/>
                <w:bCs/>
              </w:rPr>
              <w:t xml:space="preserve">RICE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Prioritization scoring: Reach, Impact, Confidence, Effort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CST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Feature/initiative prioritization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rPr>
                <w:b/>
                <w:bCs/>
              </w:rPr>
              <w:t xml:space="preserve">RFM Analysis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Customer segmentation: Recency, Frequency, Monetary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AUD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Customer value assessment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rPr>
                <w:b/>
                <w:bCs/>
              </w:rPr>
              <w:t xml:space="preserve">SWOT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Situational analysis: Strengths, Weaknesses, Opportunities, Threats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CST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Strategic planning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rPr>
                <w:b/>
                <w:bCs/>
              </w:rPr>
              <w:t xml:space="preserve">TAM/SAM/SOM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Market sizing: Total, Serviceable, Obtainable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CA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Market opportunity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rPr>
                <w:b/>
                <w:bCs/>
              </w:rPr>
              <w:t xml:space="preserve">Value Chain Analysis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Primary and support activity optimization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CST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Operational efficiency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rPr>
                <w:b/>
                <w:bCs/>
              </w:rPr>
              <w:t xml:space="preserve">VRIO Framework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Resource-based analysis: Value, Rarity, Imitability, Organization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CST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Competitive advantage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built-in-analytical-models"/>
    <w:p>
      <w:pPr>
        <w:pStyle w:val="Heading2"/>
        <w:pageBreakBefore/>
        <w:keepNext/>
        <w:keepLines/>
      </w:pPr>
      <w:r>
        <w:rPr>
          <w:color w:val="FF5F00"/>
        </w:rPr>
        <w:t xml:space="preserve">BUILT-IN ANALYTICAL MODELS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8" w:space="0" w:color="404040"/>
          <w:bottom w:val="single" w:sz="8" w:space="0" w:color="404040"/>
          <w:left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584"/>
        <w:gridCol w:w="2941"/>
        <w:gridCol w:w="1584"/>
        <w:gridCol w:w="1810"/>
      </w:tblGrid>
      <w:tr>
        <w:trPr>
          <w:tblHeader w:val="on"/>
        </w:trPr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Model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Description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Agent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Output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rPr>
                <w:b/>
                <w:bCs/>
              </w:rPr>
              <w:t xml:space="preserve">Attribution Models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Multi-touch attribution (Linear, Time Decay, Position-Based, Data-Driven)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PRF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Channel contribution analysis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rPr>
                <w:b/>
                <w:bCs/>
              </w:rPr>
              <w:t xml:space="preserve">Bayesian Inference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Probabilistic updating with prior knowledge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ANL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Confidence-adjusted predictions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rPr>
                <w:b/>
                <w:bCs/>
              </w:rPr>
              <w:t xml:space="preserve">Budget Allocation Optimizer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Mathematical optimization for media mix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CHA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Optimal spend distribution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rPr>
                <w:b/>
                <w:bCs/>
              </w:rPr>
              <w:t xml:space="preserve">Causal Inference Models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Difference-in-differences, propensity matching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ANL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Incrementality measurement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rPr>
                <w:b/>
                <w:bCs/>
              </w:rPr>
              <w:t xml:space="preserve">Channel Mix Modeling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Cross-channel synergy and saturation analysis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CHA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Mix recommendations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rPr>
                <w:b/>
                <w:bCs/>
              </w:rPr>
              <w:t xml:space="preserve">Customer Lifetime Value (LTV)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Predictive customer value calculation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AUD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Segment prioritization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rPr>
                <w:b/>
                <w:bCs/>
              </w:rPr>
              <w:t xml:space="preserve">Diminishing Returns Curves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Logarithmic response modeling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ANL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Saturation point identification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rPr>
                <w:b/>
                <w:bCs/>
              </w:rPr>
              <w:t xml:space="preserve">Fee Waterfall Analysis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Programmatic fee decomposition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SPO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Working media optimization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rPr>
                <w:b/>
                <w:bCs/>
              </w:rPr>
              <w:t xml:space="preserve">Holdout Test Design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Statistical experiment configuration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PRF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Test validity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rPr>
                <w:b/>
                <w:bCs/>
              </w:rPr>
              <w:t xml:space="preserve">Identity Resolution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Cross-device matching algorithms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AUD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Unified customer view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rPr>
                <w:b/>
                <w:bCs/>
              </w:rPr>
              <w:t xml:space="preserve">Incrementality Measurement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Causal lift estimation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PRF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True marketing impact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rPr>
                <w:b/>
                <w:bCs/>
              </w:rPr>
              <w:t xml:space="preserve">Journey State Detection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Funnel position identification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AUD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Targeting optimization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rPr>
                <w:b/>
                <w:bCs/>
              </w:rPr>
              <w:t xml:space="preserve">Marginal Return Calculator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Incremental value per spend unit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ANL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Budget efficiency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rPr>
                <w:b/>
                <w:bCs/>
              </w:rPr>
              <w:t xml:space="preserve">Net Bidder Impact (NBI)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Programmatic value assessment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SPO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Partner evaluation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rPr>
                <w:b/>
                <w:bCs/>
              </w:rPr>
              <w:t xml:space="preserve">Propensity Scoring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Conversion likelihood prediction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AUD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Targeting precision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rPr>
                <w:b/>
                <w:bCs/>
              </w:rPr>
              <w:t xml:space="preserve">Response Curve Modeling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Spend-to-outcome relationships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ANL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Optimization inputs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rPr>
                <w:b/>
                <w:bCs/>
              </w:rPr>
              <w:t xml:space="preserve">Scenario Comparison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Multi-scenario evaluation with risk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ANL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Decision support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rPr>
                <w:b/>
                <w:bCs/>
              </w:rPr>
              <w:t xml:space="preserve">Segment Prioritization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Multi-criteria audience ranking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AUD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Resource allocation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rPr>
                <w:b/>
                <w:bCs/>
              </w:rPr>
              <w:t xml:space="preserve">Supply Path Optimization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Fee minimization pathfinding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SPO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Cost efficiency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measurement-terms"/>
    <w:p>
      <w:pPr>
        <w:pStyle w:val="Heading2"/>
        <w:pageBreakBefore/>
        <w:keepNext/>
        <w:keepLines/>
      </w:pPr>
      <w:r>
        <w:rPr>
          <w:color w:val="FF5F00"/>
        </w:rPr>
        <w:t xml:space="preserve">MEASUREMENT TERMS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8" w:space="0" w:color="404040"/>
          <w:bottom w:val="single" w:sz="8" w:space="0" w:color="404040"/>
          <w:left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640"/>
        <w:gridCol w:w="5280"/>
      </w:tblGrid>
      <w:tr>
        <w:trPr>
          <w:tblHeader w:val="on"/>
        </w:trPr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Term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Definition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Attribution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Assigning credit to marketing touchpoints for conversions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Diminishing Returns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Reduced incremental impact as spend increases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Frequency Cap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Maximum number of ad exposures per user in time period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Holdout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Control group excluded from marketing for testing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Lift Test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Experiment measuring incremental impact vs. control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Marginal Return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Additional value generated per additional unit of spend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Response Curve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Mathematical relationship between spend and outcome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Saturation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Point where additional spend yields minimal incremental return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programmatic-terms"/>
    <w:p>
      <w:pPr>
        <w:pStyle w:val="Heading2"/>
        <w:pageBreakBefore/>
        <w:keepNext/>
        <w:keepLines/>
      </w:pPr>
      <w:r>
        <w:rPr>
          <w:color w:val="FF5F00"/>
        </w:rPr>
        <w:t xml:space="preserve">PROGRAMMATIC TERMS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8" w:space="0" w:color="404040"/>
          <w:bottom w:val="single" w:sz="8" w:space="0" w:color="404040"/>
          <w:left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640"/>
        <w:gridCol w:w="5280"/>
      </w:tblGrid>
      <w:tr>
        <w:trPr>
          <w:tblHeader w:val="on"/>
        </w:trPr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Term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Definition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DSP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Demand-Side Platform - system for buying programmatic ads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Header Bidding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Auction technique allowing multiple exchanges to bid simultaneously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SSP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Supply-Side Platform - system for selling ad inventory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Take Rate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Percentage of spend captured by intermediaries as fees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security-terms"/>
    <w:p>
      <w:pPr>
        <w:pStyle w:val="Heading2"/>
        <w:pageBreakBefore/>
        <w:keepNext/>
        <w:keepLines/>
      </w:pPr>
      <w:r>
        <w:rPr>
          <w:color w:val="FF5F00"/>
        </w:rPr>
        <w:t xml:space="preserve">SECURITY TERMS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8" w:space="0" w:color="404040"/>
          <w:bottom w:val="single" w:sz="8" w:space="0" w:color="404040"/>
          <w:left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640"/>
        <w:gridCol w:w="5280"/>
      </w:tblGrid>
      <w:tr>
        <w:trPr>
          <w:tblHeader w:val="on"/>
        </w:trPr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Term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Definition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Approved Connector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Microsoft connector permitted under Mastercard DLP policy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Azure AD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Microsoft’s identity and access management service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Data Provenance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Tracking origin and lineage of data used by agents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Session Isolation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Ensuring user data is not accessible to other sessions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revenue-and-business-terms"/>
    <w:p>
      <w:pPr>
        <w:pStyle w:val="Heading2"/>
        <w:pageBreakBefore/>
        <w:keepNext/>
        <w:keepLines/>
      </w:pPr>
      <w:r>
        <w:rPr>
          <w:color w:val="FF5F00"/>
        </w:rPr>
        <w:t xml:space="preserve">REVENUE AND BUSINESS TERMS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8" w:space="0" w:color="404040"/>
          <w:bottom w:val="single" w:sz="8" w:space="0" w:color="404040"/>
          <w:left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2640"/>
        <w:gridCol w:w="5280"/>
      </w:tblGrid>
      <w:tr>
        <w:trPr>
          <w:tblHeader w:val="on"/>
        </w:trPr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Term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Definition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TAM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Total Addressable Market - total revenue opportunity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Agent Factory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MCMAP model where infrastructure enables rapid agent creation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Marginal Cost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Cost of producing one additional unit (decreases per agent in MCMAP)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Time-to-Value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Duration from project start to delivering business value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document-references"/>
    <w:p>
      <w:pPr>
        <w:pStyle w:val="Heading2"/>
        <w:pageBreakBefore/>
        <w:keepNext/>
        <w:keepLines/>
      </w:pPr>
      <w:r>
        <w:rPr>
          <w:color w:val="FF5F00"/>
        </w:rPr>
        <w:t xml:space="preserve">DOCUMENT REFERENCES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8" w:space="0" w:color="404040"/>
          <w:bottom w:val="single" w:sz="8" w:space="0" w:color="404040"/>
          <w:left w:val="single" w:sz="8" w:space="0" w:color="404040"/>
          <w:right w:val="single" w:sz="8" w:space="0" w:color="404040"/>
          <w:insideH w:val="single" w:sz="8" w:space="0" w:color="404040"/>
          <w:insideV w:val="single" w:sz="8" w:space="0" w:color="404040"/>
        </w:tblBorders>
        <w:tblCellMar>
          <w:top w:w="40" w:type="dxa"/>
          <w:left w:w="80" w:type="dxa"/>
          <w:bottom w:w="40" w:type="dxa"/>
          <w:right w:w="80" w:type="dxa"/>
        </w:tblCellMar>
      </w:tblPr>
      <w:tblGrid>
        <w:gridCol w:w="1848"/>
        <w:gridCol w:w="1848"/>
        <w:gridCol w:w="4224"/>
      </w:tblGrid>
      <w:tr>
        <w:trPr>
          <w:tblHeader w:val="on"/>
        </w:trPr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Doc #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Title</w:t>
            </w:r>
          </w:p>
        </w:tc>
        <w:tc>
          <w:tcPr>
            <w:shd w:val="clear" w:color="auto" w:fill="F2F2F2"/>
          </w:tcPr>
          <w:p>
            <w:pPr>
              <w:pStyle w:val="Compact"/>
            </w:pPr>
            <w:r>
              <w:rPr>
                <w:b/>
                <w:color w:val="000000"/>
              </w:rPr>
              <w:t xml:space="preserve">Primary Topics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00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Strategic Platform Vision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Platform opportunity, strategic value, agent overview, efficiency gains, revenue opportunities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02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System Architecture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Technical stack, integration patterns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03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Security Compliance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DLP, data protection, audit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04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Agent Capabilities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Agent inventory, capability reference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05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Data Architecture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Dataverse schema, data flows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06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AI Builder Integration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Prompt specifications, agent configuration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07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Operational Runbook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Support, maintenance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08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Quality Assurance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Testing framework</w:t>
            </w:r>
          </w:p>
        </w:tc>
      </w:tr>
      <w:tr>
        <w:tc>
          <w:tcPr>
            <w:shd w:val="clear" w:color="auto" w:fill="FFFFFF"/>
          </w:tcPr>
          <w:p>
            <w:pPr>
              <w:pStyle w:val="Compact"/>
            </w:pPr>
            <w:r>
              <w:t xml:space="preserve">09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Future Use Cases</w:t>
            </w:r>
          </w:p>
        </w:tc>
        <w:tc>
          <w:tcPr>
            <w:shd w:val="clear" w:color="auto" w:fill="FFFFFF"/>
          </w:tcPr>
          <w:p>
            <w:pPr>
              <w:pStyle w:val="Compact"/>
            </w:pPr>
            <w:r>
              <w:t xml:space="preserve">Strategic opportunities, expansion areas</w:t>
            </w:r>
          </w:p>
        </w:tc>
      </w:tr>
      <w:tr>
        <w:tc>
          <w:tcPr>
            <w:shd w:val="clear" w:color="auto" w:fill="FAFAFA"/>
          </w:tcPr>
          <w:p>
            <w:pPr>
              <w:pStyle w:val="Compact"/>
            </w:pPr>
            <w:r>
              <w:t xml:space="preserve">10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Contact Reference</w:t>
            </w:r>
          </w:p>
        </w:tc>
        <w:tc>
          <w:tcPr>
            <w:shd w:val="clear" w:color="auto" w:fill="FAFAFA"/>
          </w:tcPr>
          <w:p>
            <w:pPr>
              <w:pStyle w:val="Compact"/>
            </w:pPr>
            <w:r>
              <w:t xml:space="preserve">Support contacts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2.0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January 25, 2026</w:t>
      </w:r>
    </w:p>
    <w:bookmarkEnd w:id="28"/>
    <w:bookmarkEnd w:id="29"/>
    <w:sectPr w:rsidR="00FC693F" w:rsidRPr="0006063C" w:rsidSect="00034616">
      <w:footerReference r:id="rId9" w:type="default"/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enter" w:pos="4680"/>
        <w:tab w:val="right" w:pos="9360"/>
      </w:tabs>
    </w:pPr>
    <w:r>
      <w:tab/>
    </w:r>
    <w:r>
      <w:rPr>
        <w:rFonts w:ascii="Calibri" w:hAnsi="Calibri"/>
        <w:sz w:val="18"/>
      </w:rPr>
      <w:t xml:space="preserve">MASTERCARD CONFIDENTIAL </w:t>
    </w:r>
    <w:r>
      <w:rPr>
        <w:rFonts w:ascii="Calibri" w:hAnsi="Calibri"/>
        <w:sz w:val="18"/>
      </w:rPr>
      <w:t>© 2026</w:t>
    </w:r>
    <w:r>
      <w:tab/>
    </w:r>
    <w:r>
      <w:rPr>
        <w:rFonts w:ascii="Calibri" w:hAnsi="Calibri"/>
        <w:sz w:val="18"/>
      </w:rPr>
      <w:t xml:space="preserve">Page </w:t>
    </w:r>
    <w:r>
      <w:rPr>
        <w:rFonts w:ascii="Calibri" w:hAnsi="Calibri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Calibri Light" w:asciiTheme="majorHAnsi" w:cstheme="majorBidi" w:eastAsiaTheme="majorEastAsia" w:hAnsi="Calibri Light" w:hAnsiTheme="majorHAnsi"/>
      <w:b/>
      <w:bCs/>
      <w:color w:val="FF5F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Calibri Light" w:asciiTheme="majorHAnsi" w:cstheme="majorBidi" w:eastAsiaTheme="majorEastAsia" w:hAnsi="Calibri Light" w:hAnsiTheme="majorHAnsi"/>
      <w:b/>
      <w:bCs/>
      <w:color w:val="FF5F00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Calibri Light" w:asciiTheme="majorHAnsi" w:cstheme="majorBidi" w:eastAsiaTheme="majorEastAsia" w:hAnsi="Calibri Light" w:hAnsiTheme="majorHAnsi"/>
      <w:b/>
      <w:bCs/>
      <w:color w:val="FF5F0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="Calibri Light" w:asciiTheme="majorHAnsi" w:cstheme="majorBidi" w:eastAsiaTheme="majorEastAsia" w:hAnsi="Calibri Light" w:hAnsiTheme="majorHAnsi"/>
      <w:b/>
      <w:bCs/>
      <w:i/>
      <w:iCs/>
      <w:color w:val="FF5F00"/>
      <w:sz w:val="24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val="FF5F0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val="FF5F0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val="FF5F00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val="FF5F00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7" Type="http://schemas.openxmlformats.org/officeDocument/2006/relationships/numbering" Target="numbering.xml"/><Relationship Id="rId16" Type="http://schemas.openxmlformats.org/officeDocument/2006/relationships/styles" Target="styles.xml"/><Relationship Id="rId15" Type="http://schemas.openxmlformats.org/officeDocument/2006/relationships/settings" Target="settings.xml"/><Relationship Id="rId14" Type="http://schemas.openxmlformats.org/officeDocument/2006/relationships/webSettings" Target="webSettings.xml"/><Relationship Id="rId13" Type="http://schemas.openxmlformats.org/officeDocument/2006/relationships/fontTable" Target="fontTable.xml"/><Relationship Id="rId12" Type="http://schemas.openxmlformats.org/officeDocument/2006/relationships/theme" Target="theme/theme1.xml"/><Relationship Id="rId11" Type="http://schemas.openxmlformats.org/officeDocument/2006/relationships/footnotes" Target="footnotes.xml"/><Relationship Id="rId10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2026-01-26T15:30:25Z</dcterms:created>
  <dcterms:modified xsi:type="dcterms:W3CDTF">2026-01-26T15:30:25Z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