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glossary-and-terminology-reference"/>
    <w:p>
      <w:pPr>
        <w:pStyle w:val="Heading1"/>
      </w:pPr>
      <w:r>
        <w:t xml:space="preserve">MCMAP GLOSSARY AND TERMINOLOGY REFERENCE</w:t>
      </w:r>
    </w:p>
    <w:p>
      <w:pPr>
        <w:pStyle w:val="FirstParagraph"/>
      </w:pPr>
      <w:r>
        <w:t xml:space="preserve">This document provides definitions for all acronyms, terms, and concepts used across MCMAP documentation.</w:t>
      </w:r>
    </w:p>
    <w:p>
      <w:r>
        <w:pict>
          <v:rect style="width:0;height:1.5pt" o:hralign="center" o:hrstd="t" o:hr="t"/>
        </w:pict>
      </w:r>
    </w:p>
    <w:bookmarkStart w:id="18" w:name="agent-codes"/>
    <w:p>
      <w:pPr>
        <w:pStyle w:val="Heading2"/>
      </w:pPr>
      <w:r>
        <w:t xml:space="preserve">AGENT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  <w:tc>
          <w:tcPr/>
          <w:p>
            <w:pPr>
              <w:pStyle w:val="Compact"/>
            </w:pPr>
            <w:r>
              <w:t xml:space="preserve">Budget projections, forecasting, ROI calculations, scenario modeling, statistical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 Agent</w:t>
            </w:r>
          </w:p>
        </w:tc>
        <w:tc>
          <w:tcPr/>
          <w:p>
            <w:pPr>
              <w:pStyle w:val="Compact"/>
            </w:pPr>
            <w:r>
              <w:t xml:space="preserve">Segmentation, LTV modeling, propensity scoring, identity resolution, targeting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 Analysis Agent</w:t>
            </w:r>
          </w:p>
        </w:tc>
        <w:tc>
          <w:tcPr/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 Agent</w:t>
            </w:r>
          </w:p>
        </w:tc>
        <w:tc>
          <w:tcPr/>
          <w:p>
            <w:pPr>
              <w:pStyle w:val="Compact"/>
            </w:pPr>
            <w:r>
              <w:t xml:space="preserve">Media mix optimization, channel selection, benchmarking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 Management Agent</w:t>
            </w:r>
          </w:p>
        </w:tc>
        <w:tc>
          <w:tcPr/>
          <w:p>
            <w:pPr>
              <w:pStyle w:val="Compact"/>
            </w:pPr>
            <w:r>
              <w:t xml:space="preserve">Adoption planning, stakeholder mapping, readiness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 Strategy Agent</w:t>
            </w:r>
          </w:p>
        </w:tc>
        <w:tc>
          <w:tcPr/>
          <w:p>
            <w:pPr>
              <w:pStyle w:val="Compact"/>
            </w:pPr>
            <w:r>
              <w:t xml:space="preserve">Framework selection, RICE/MoSCoW prioritization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 Agent</w:t>
            </w:r>
          </w:p>
        </w:tc>
        <w:tc>
          <w:tcPr/>
          <w:p>
            <w:pPr>
              <w:pStyle w:val="Compact"/>
            </w:pPr>
            <w:r>
              <w:t xml:space="preserve">Report generation, deliverable creation, template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Documentation Assistant</w:t>
            </w:r>
          </w:p>
        </w:tc>
        <w:tc>
          <w:tcPr/>
          <w:p>
            <w:pPr>
              <w:pStyle w:val="Compact"/>
            </w:pPr>
            <w:r>
              <w:t xml:space="preserve">Architecture discovery, terminology lookup (this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Marketing Agent</w:t>
            </w:r>
          </w:p>
        </w:tc>
        <w:tc>
          <w:tcPr/>
          <w:p>
            <w:pPr>
              <w:pStyle w:val="Compact"/>
            </w:pPr>
            <w:r>
              <w:t xml:space="preserve">Campaign strategy, creative briefs, competitive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 Agent</w:t>
            </w:r>
          </w:p>
        </w:tc>
        <w:tc>
          <w:tcPr/>
          <w:p>
            <w:pPr>
              <w:pStyle w:val="Compact"/>
            </w:pPr>
            <w:r>
              <w:t xml:space="preserve">Intent routing, session management, agent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 Agent</w:t>
            </w:r>
          </w:p>
        </w:tc>
        <w:tc>
          <w:tcPr/>
          <w:p>
            <w:pPr>
              <w:pStyle w:val="Compact"/>
            </w:pPr>
            <w:r>
              <w:t xml:space="preserve">Attribution modeling, anomaly detection, optimization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 Optimization Agent</w:t>
            </w:r>
          </w:p>
        </w:tc>
        <w:tc>
          <w:tcPr/>
          <w:p>
            <w:pPr>
              <w:pStyle w:val="Compact"/>
            </w:pPr>
            <w:r>
              <w:t xml:space="preserve">Programmatic optimization, fee analysis, working media ratio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Start w:id="19" w:name="platform-acronyms"/>
    <w:p>
      <w:pPr>
        <w:pStyle w:val="Heading2"/>
      </w:pPr>
      <w:r>
        <w:t xml:space="preserve">PLATFORM ACRONYMS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72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Acronym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</w:t>
            </w:r>
          </w:p>
        </w:tc>
        <w:tc>
          <w:tcPr/>
          <w:p>
            <w:pPr>
              <w:pStyle w:val="Compact"/>
            </w:pPr>
            <w:r>
              <w:t xml:space="preserve">Capability Abstraction Layer</w:t>
            </w:r>
          </w:p>
        </w:tc>
        <w:tc>
          <w:tcPr/>
          <w:p>
            <w:pPr>
              <w:pStyle w:val="Compact"/>
            </w:pPr>
            <w:r>
              <w:t xml:space="preserve">Architecture pattern that separates capability definitions from implementations, enabling portability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Data Loss Prevention</w:t>
            </w:r>
          </w:p>
        </w:tc>
        <w:tc>
          <w:tcPr/>
          <w:p>
            <w:pPr>
              <w:pStyle w:val="Compact"/>
            </w:pPr>
            <w:r>
              <w:t xml:space="preserve">Mastercard security policies controlling data flow and connector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</w:t>
            </w:r>
          </w:p>
        </w:tc>
        <w:tc>
          <w:tcPr/>
          <w:p>
            <w:pPr>
              <w:pStyle w:val="Compact"/>
            </w:pPr>
            <w:r>
              <w:t xml:space="preserve">Enterprise Agent Platform</w:t>
            </w:r>
          </w:p>
        </w:tc>
        <w:tc>
          <w:tcPr/>
          <w:p>
            <w:pPr>
              <w:pStyle w:val="Compact"/>
            </w:pPr>
            <w:r>
              <w:t xml:space="preserve">Shared infrastructure layer supporting all MCMAP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Document collection providing domain expertise to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</w:t>
            </w:r>
          </w:p>
        </w:tc>
        <w:tc>
          <w:tcPr/>
          <w:p>
            <w:pPr>
              <w:pStyle w:val="Compact"/>
            </w:pPr>
            <w:r>
              <w:t xml:space="preserve">Mastercard Consulting &amp; Marketing Agent Platform</w:t>
            </w:r>
          </w:p>
        </w:tc>
        <w:tc>
          <w:tcPr/>
          <w:p>
            <w:pPr>
              <w:pStyle w:val="Compact"/>
            </w:pPr>
            <w:r>
              <w:t xml:space="preserve">Full platform name encompassing all agents and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Media Planning Agent</w:t>
            </w:r>
          </w:p>
        </w:tc>
        <w:tc>
          <w:tcPr/>
          <w:p>
            <w:pPr>
              <w:pStyle w:val="Compact"/>
            </w:pPr>
            <w:r>
              <w:t xml:space="preserve">Primary workflow agent for media planning; also refers to the media planning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Central routing and coordination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Pattern where AI retrieves relevant documents before generating responses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0" w:name="technology-terms"/>
    <w:p>
      <w:pPr>
        <w:pStyle w:val="Heading2"/>
      </w:pPr>
      <w:r>
        <w:t xml:space="preserve">TECHNOLOGY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Microsoft’s low-code AI service for creating custom prompts and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Discrete computational function that agents can invoke (e.g., ANL_MARGINAL_RETURN)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Dispatcher</w:t>
            </w:r>
          </w:p>
        </w:tc>
        <w:tc>
          <w:tcPr/>
          <w:p>
            <w:pPr>
              <w:pStyle w:val="Compact"/>
            </w:pPr>
            <w:r>
              <w:t xml:space="preserve">Flow that routes capability requests to appropriate implementations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Microsoft’s conversational AI platform for building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Microsoft’s database platform for Power Platform applications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Microsoft’s workflow automation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Microsoft’s document management platform hosting MCMAP knowledge 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Copilot Studio conversation unit that handles specific user intents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1" w:name="metrics-and-kpis"/>
    <w:p>
      <w:pPr>
        <w:pStyle w:val="Heading2"/>
      </w:pPr>
      <w:r>
        <w:t xml:space="preserve">METRICS AND KPIs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</w:t>
            </w:r>
          </w:p>
        </w:tc>
        <w:tc>
          <w:tcPr/>
          <w:p>
            <w:pPr>
              <w:pStyle w:val="Compact"/>
            </w:pPr>
            <w:r>
              <w:t xml:space="preserve">Customer Acquisition Cost - total cost to acquire one 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Acquisition - cost per conversion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 - cost for each ad click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Thousand Impressions - cost per 1,000 ad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- percentage of impressions that result in clicks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True causal impact of marketing, measuring lift vs. what would have happened anyway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Lifetime Value - total expected revenue from a customer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</w:t>
            </w:r>
          </w:p>
        </w:tc>
        <w:tc>
          <w:tcPr/>
          <w:p>
            <w:pPr>
              <w:pStyle w:val="Compact"/>
            </w:pPr>
            <w:r>
              <w:t xml:space="preserve">Net Bidder Impact - programmatic metric measuring true media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ROAS</w:t>
            </w:r>
          </w:p>
        </w:tc>
        <w:tc>
          <w:tcPr/>
          <w:p>
            <w:pPr>
              <w:pStyle w:val="Compact"/>
            </w:pPr>
            <w:r>
              <w:t xml:space="preserve">Return on Ad Spend - revenue generated per dollar of ad spend (note: MCMAP challenges this as primary KPI)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Return on Investment - general measure of investment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Media Ratio</w:t>
            </w:r>
          </w:p>
        </w:tc>
        <w:tc>
          <w:tcPr/>
          <w:p>
            <w:pPr>
              <w:pStyle w:val="Compact"/>
            </w:pPr>
            <w:r>
              <w:t xml:space="preserve">Percentage of media budget reaching actual impressions vs. fees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consulting-frameworks"/>
    <w:p>
      <w:pPr>
        <w:pStyle w:val="Heading2"/>
      </w:pPr>
      <w:r>
        <w:t xml:space="preserve">CONSULTING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352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ADKAR</w:t>
            </w:r>
          </w:p>
        </w:tc>
        <w:tc>
          <w:tcPr/>
          <w:p>
            <w:pPr>
              <w:pStyle w:val="Compact"/>
            </w:pPr>
            <w:r>
              <w:t xml:space="preserve">Change management model: Awareness, Desire, Knowledge, Ability, Reinforcement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Organizational change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 Matrix</w:t>
            </w:r>
          </w:p>
        </w:tc>
        <w:tc>
          <w:tcPr/>
          <w:p>
            <w:pPr>
              <w:pStyle w:val="Compact"/>
            </w:pPr>
            <w:r>
              <w:t xml:space="preserve">Boston Consulting Group portfolio analysis (Stars, Cash Cows, Dogs, Question Marks)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Product/investment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Blue Ocean Strategy</w:t>
            </w:r>
          </w:p>
        </w:tc>
        <w:tc>
          <w:tcPr/>
          <w:p>
            <w:pPr>
              <w:pStyle w:val="Compact"/>
            </w:pPr>
            <w:r>
              <w:t xml:space="preserve">Creating uncontested market space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Market 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 Forces (Porter’s Five)</w:t>
            </w:r>
          </w:p>
        </w:tc>
        <w:tc>
          <w:tcPr/>
          <w:p>
            <w:pPr>
              <w:pStyle w:val="Compact"/>
            </w:pPr>
            <w:r>
              <w:t xml:space="preserve">Industry competition analysis framework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Competitive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Journey Mapping</w:t>
            </w:r>
          </w:p>
        </w:tc>
        <w:tc>
          <w:tcPr/>
          <w:p>
            <w:pPr>
              <w:pStyle w:val="Compact"/>
            </w:pPr>
            <w:r>
              <w:t xml:space="preserve">End-to-end customer experience visualization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Customer experience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DMAIC</w:t>
            </w:r>
          </w:p>
        </w:tc>
        <w:tc>
          <w:tcPr/>
          <w:p>
            <w:pPr>
              <w:pStyle w:val="Compact"/>
            </w:pPr>
            <w:r>
              <w:t xml:space="preserve">Six Sigma improvement: Define, Measure, Analyze, Improve, Control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Process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Jobs-to-be-Done</w:t>
            </w:r>
          </w:p>
        </w:tc>
        <w:tc>
          <w:tcPr/>
          <w:p>
            <w:pPr>
              <w:pStyle w:val="Compact"/>
            </w:pPr>
            <w:r>
              <w:t xml:space="preserve">Customer motivation framework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Product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Kotter 8-Step</w:t>
            </w:r>
          </w:p>
        </w:tc>
        <w:tc>
          <w:tcPr/>
          <w:p>
            <w:pPr>
              <w:pStyle w:val="Compact"/>
            </w:pPr>
            <w:r>
              <w:t xml:space="preserve">Change management process from urgency through anchoring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Large-scale transformation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McKinsey 7S</w:t>
            </w:r>
          </w:p>
        </w:tc>
        <w:tc>
          <w:tcPr/>
          <w:p>
            <w:pPr>
              <w:pStyle w:val="Compact"/>
            </w:pPr>
            <w:r>
              <w:t xml:space="preserve">Organizational alignment: Strategy, Structure, Systems, Shared Values, Style, Staff, Skills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Organizational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Prioritization: Must have, Should have, Could have, Won’t have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Requirements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OKRs</w:t>
            </w:r>
          </w:p>
        </w:tc>
        <w:tc>
          <w:tcPr/>
          <w:p>
            <w:pPr>
              <w:pStyle w:val="Compact"/>
            </w:pPr>
            <w:r>
              <w:t xml:space="preserve">Objectives and Key Results goal-setting framework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PESTEL</w:t>
            </w:r>
          </w:p>
        </w:tc>
        <w:tc>
          <w:tcPr/>
          <w:p>
            <w:pPr>
              <w:pStyle w:val="Compact"/>
            </w:pPr>
            <w:r>
              <w:t xml:space="preserve">Environmental analysis: Political, Economic, Social, Technological, Environmental, Legal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Market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RACI Matrix</w:t>
            </w:r>
          </w:p>
        </w:tc>
        <w:tc>
          <w:tcPr/>
          <w:p>
            <w:pPr>
              <w:pStyle w:val="Compact"/>
            </w:pPr>
            <w:r>
              <w:t xml:space="preserve">Responsibility assignment: Responsible, Accountable, Consulted, Informed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Role clarity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Prioritization scoring: Reach, Impact, Confidence, Effort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Feature/initiative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RFM Analysis</w:t>
            </w:r>
          </w:p>
        </w:tc>
        <w:tc>
          <w:tcPr/>
          <w:p>
            <w:pPr>
              <w:pStyle w:val="Compact"/>
            </w:pPr>
            <w:r>
              <w:t xml:space="preserve">Customer segmentation: Recency, Frequency, Monetary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Customer value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SWOT</w:t>
            </w:r>
          </w:p>
        </w:tc>
        <w:tc>
          <w:tcPr/>
          <w:p>
            <w:pPr>
              <w:pStyle w:val="Compact"/>
            </w:pPr>
            <w:r>
              <w:t xml:space="preserve">Situational analysis: Strengths, Weaknesses, Opportunities, Threats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TAM/SAM/SOM</w:t>
            </w:r>
          </w:p>
        </w:tc>
        <w:tc>
          <w:tcPr/>
          <w:p>
            <w:pPr>
              <w:pStyle w:val="Compact"/>
            </w:pPr>
            <w:r>
              <w:t xml:space="preserve">Market sizing: Total, Serviceable, Obtainable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Market opportunity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Chain Analysis</w:t>
            </w:r>
          </w:p>
        </w:tc>
        <w:tc>
          <w:tcPr/>
          <w:p>
            <w:pPr>
              <w:pStyle w:val="Compact"/>
            </w:pPr>
            <w:r>
              <w:t xml:space="preserve">Primary and support activity optimization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Operational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VRIO Framework</w:t>
            </w:r>
          </w:p>
        </w:tc>
        <w:tc>
          <w:tcPr/>
          <w:p>
            <w:pPr>
              <w:pStyle w:val="Compact"/>
            </w:pPr>
            <w:r>
              <w:t xml:space="preserve">Resource-based analysis: Value, Rarity, Imitability, Organization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Competitive advantage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uilt-in-analytical-models"/>
    <w:p>
      <w:pPr>
        <w:pStyle w:val="Heading2"/>
      </w:pPr>
      <w:r>
        <w:t xml:space="preserve">BUILT-IN ANALYTICAL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41"/>
        <w:gridCol w:w="1584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/>
          <w:p>
            <w:pPr>
              <w:pStyle w:val="Compact"/>
            </w:pPr>
            <w:r>
              <w:t xml:space="preserve">Multi-touch attribution (Linear, Time Decay, Position-Based, Data-Driven)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Channel contribution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Bayesian Inference</w:t>
            </w:r>
          </w:p>
        </w:tc>
        <w:tc>
          <w:tcPr/>
          <w:p>
            <w:pPr>
              <w:pStyle w:val="Compact"/>
            </w:pPr>
            <w:r>
              <w:t xml:space="preserve">Probabilistic updating with prior knowledge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Confidence-adjusted 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Budget Allocation Optimizer</w:t>
            </w:r>
          </w:p>
        </w:tc>
        <w:tc>
          <w:tcPr/>
          <w:p>
            <w:pPr>
              <w:pStyle w:val="Compact"/>
            </w:pPr>
            <w:r>
              <w:t xml:space="preserve">Mathematical optimization for media mix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Optimal spend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Causal Inference Models</w:t>
            </w:r>
          </w:p>
        </w:tc>
        <w:tc>
          <w:tcPr/>
          <w:p>
            <w:pPr>
              <w:pStyle w:val="Compact"/>
            </w:pPr>
            <w:r>
              <w:t xml:space="preserve">Difference-in-differences, propensity matching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Incrementality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 Mix Modeling</w:t>
            </w:r>
          </w:p>
        </w:tc>
        <w:tc>
          <w:tcPr/>
          <w:p>
            <w:pPr>
              <w:pStyle w:val="Compact"/>
            </w:pPr>
            <w:r>
              <w:t xml:space="preserve">Cross-channel synergy and saturation analysis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Mix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Lifetime Value (LTV)</w:t>
            </w:r>
          </w:p>
        </w:tc>
        <w:tc>
          <w:tcPr/>
          <w:p>
            <w:pPr>
              <w:pStyle w:val="Compact"/>
            </w:pPr>
            <w:r>
              <w:t xml:space="preserve">Predictive customer value calculation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Segment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Diminishing Returns Curves</w:t>
            </w:r>
          </w:p>
        </w:tc>
        <w:tc>
          <w:tcPr/>
          <w:p>
            <w:pPr>
              <w:pStyle w:val="Compact"/>
            </w:pPr>
            <w:r>
              <w:t xml:space="preserve">Logarithmic response modeling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Saturation point identification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 Waterfall Analysis</w:t>
            </w:r>
          </w:p>
        </w:tc>
        <w:tc>
          <w:tcPr/>
          <w:p>
            <w:pPr>
              <w:pStyle w:val="Compact"/>
            </w:pPr>
            <w:r>
              <w:t xml:space="preserve">Programmatic fee decomposition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Working media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Holdout Test Design</w:t>
            </w:r>
          </w:p>
        </w:tc>
        <w:tc>
          <w:tcPr/>
          <w:p>
            <w:pPr>
              <w:pStyle w:val="Compact"/>
            </w:pPr>
            <w:r>
              <w:t xml:space="preserve">Statistical experiment configuration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Test validity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Resolution</w:t>
            </w:r>
          </w:p>
        </w:tc>
        <w:tc>
          <w:tcPr/>
          <w:p>
            <w:pPr>
              <w:pStyle w:val="Compact"/>
            </w:pPr>
            <w:r>
              <w:t xml:space="preserve">Cross-device matching algorithms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Unified customer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Incrementality Measurement</w:t>
            </w:r>
          </w:p>
        </w:tc>
        <w:tc>
          <w:tcPr/>
          <w:p>
            <w:pPr>
              <w:pStyle w:val="Compact"/>
            </w:pPr>
            <w:r>
              <w:t xml:space="preserve">Causal lift estimation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True marketing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Journey State Detection</w:t>
            </w:r>
          </w:p>
        </w:tc>
        <w:tc>
          <w:tcPr/>
          <w:p>
            <w:pPr>
              <w:pStyle w:val="Compact"/>
            </w:pPr>
            <w:r>
              <w:t xml:space="preserve">Funnel position identification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Targeting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Marginal Return Calculator</w:t>
            </w:r>
          </w:p>
        </w:tc>
        <w:tc>
          <w:tcPr/>
          <w:p>
            <w:pPr>
              <w:pStyle w:val="Compact"/>
            </w:pPr>
            <w:r>
              <w:t xml:space="preserve">Incremental value per spend unit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Budget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Bidder Impact (NBI)</w:t>
            </w:r>
          </w:p>
        </w:tc>
        <w:tc>
          <w:tcPr/>
          <w:p>
            <w:pPr>
              <w:pStyle w:val="Compact"/>
            </w:pPr>
            <w:r>
              <w:t xml:space="preserve">Programmatic value assessment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Partner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Scoring</w:t>
            </w:r>
          </w:p>
        </w:tc>
        <w:tc>
          <w:tcPr/>
          <w:p>
            <w:pPr>
              <w:pStyle w:val="Compact"/>
            </w:pPr>
            <w:r>
              <w:t xml:space="preserve">Conversion likelihood prediction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Targeting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Curve Modeling</w:t>
            </w:r>
          </w:p>
        </w:tc>
        <w:tc>
          <w:tcPr/>
          <w:p>
            <w:pPr>
              <w:pStyle w:val="Compact"/>
            </w:pPr>
            <w:r>
              <w:t xml:space="preserve">Spend-to-outcome relationships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Optimization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Scenario Comparison</w:t>
            </w:r>
          </w:p>
        </w:tc>
        <w:tc>
          <w:tcPr/>
          <w:p>
            <w:pPr>
              <w:pStyle w:val="Compact"/>
            </w:pPr>
            <w:r>
              <w:t xml:space="preserve">Multi-scenario evaluation with risk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Decision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 Prioritization</w:t>
            </w:r>
          </w:p>
        </w:tc>
        <w:tc>
          <w:tcPr/>
          <w:p>
            <w:pPr>
              <w:pStyle w:val="Compact"/>
            </w:pPr>
            <w:r>
              <w:t xml:space="preserve">Multi-criteria audience ranking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Resource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Path Optimization</w:t>
            </w:r>
          </w:p>
        </w:tc>
        <w:tc>
          <w:tcPr/>
          <w:p>
            <w:pPr>
              <w:pStyle w:val="Compact"/>
            </w:pPr>
            <w:r>
              <w:t xml:space="preserve">Fee minimization pathfinding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Cost efficiency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easurement-terms"/>
    <w:p>
      <w:pPr>
        <w:pStyle w:val="Heading2"/>
      </w:pPr>
      <w:r>
        <w:t xml:space="preserve">MEASUREMENT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Assigning credit to marketing touchpoints for conversions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Diminishing Returns</w:t>
            </w:r>
          </w:p>
        </w:tc>
        <w:tc>
          <w:tcPr/>
          <w:p>
            <w:pPr>
              <w:pStyle w:val="Compact"/>
            </w:pPr>
            <w:r>
              <w:t xml:space="preserve">Reduced incremental impact as spend increases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Cap</w:t>
            </w:r>
          </w:p>
        </w:tc>
        <w:tc>
          <w:tcPr/>
          <w:p>
            <w:pPr>
              <w:pStyle w:val="Compact"/>
            </w:pPr>
            <w:r>
              <w:t xml:space="preserve">Maximum number of ad exposures per user in time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Control group excluded from marketing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 Test</w:t>
            </w:r>
          </w:p>
        </w:tc>
        <w:tc>
          <w:tcPr/>
          <w:p>
            <w:pPr>
              <w:pStyle w:val="Compact"/>
            </w:pPr>
            <w:r>
              <w:t xml:space="preserve">Experiment measuring incremental impact vs. 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Return</w:t>
            </w:r>
          </w:p>
        </w:tc>
        <w:tc>
          <w:tcPr/>
          <w:p>
            <w:pPr>
              <w:pStyle w:val="Compact"/>
            </w:pPr>
            <w:r>
              <w:t xml:space="preserve">Additional value generated per additional unit of spend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Curve</w:t>
            </w:r>
          </w:p>
        </w:tc>
        <w:tc>
          <w:tcPr/>
          <w:p>
            <w:pPr>
              <w:pStyle w:val="Compact"/>
            </w:pPr>
            <w:r>
              <w:t xml:space="preserve">Mathematical relationship between spend and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Saturation</w:t>
            </w:r>
          </w:p>
        </w:tc>
        <w:tc>
          <w:tcPr/>
          <w:p>
            <w:pPr>
              <w:pStyle w:val="Compact"/>
            </w:pPr>
            <w:r>
              <w:t xml:space="preserve">Point where additional spend yields minimal incremental 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grammatic-terms"/>
    <w:p>
      <w:pPr>
        <w:pStyle w:val="Heading2"/>
      </w:pPr>
      <w:r>
        <w:t xml:space="preserve">PROGRAMMATIC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DSP</w:t>
            </w:r>
          </w:p>
        </w:tc>
        <w:tc>
          <w:tcPr/>
          <w:p>
            <w:pPr>
              <w:pStyle w:val="Compact"/>
            </w:pPr>
            <w:r>
              <w:t xml:space="preserve">Demand-Side Platform - system for buying programmatic 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Bidding</w:t>
            </w:r>
          </w:p>
        </w:tc>
        <w:tc>
          <w:tcPr/>
          <w:p>
            <w:pPr>
              <w:pStyle w:val="Compact"/>
            </w:pPr>
            <w:r>
              <w:t xml:space="preserve">Auction technique allowing multiple exchanges to bid simultaneously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SSP</w:t>
            </w:r>
          </w:p>
        </w:tc>
        <w:tc>
          <w:tcPr/>
          <w:p>
            <w:pPr>
              <w:pStyle w:val="Compact"/>
            </w:pPr>
            <w:r>
              <w:t xml:space="preserve">Supply-Side Platform - system for selling ad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</w:t>
            </w:r>
          </w:p>
        </w:tc>
        <w:tc>
          <w:tcPr/>
          <w:p>
            <w:pPr>
              <w:pStyle w:val="Compact"/>
            </w:pPr>
            <w:r>
              <w:t xml:space="preserve">Percentage of spend captured by intermediaries as fees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urity-terms"/>
    <w:p>
      <w:pPr>
        <w:pStyle w:val="Heading2"/>
      </w:pPr>
      <w:r>
        <w:t xml:space="preserve">SECURITY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Connector</w:t>
            </w:r>
          </w:p>
        </w:tc>
        <w:tc>
          <w:tcPr/>
          <w:p>
            <w:pPr>
              <w:pStyle w:val="Compact"/>
            </w:pPr>
            <w:r>
              <w:t xml:space="preserve">Microsoft connector permitted under Mastercard DLP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Microsoft’s identity and access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</w:t>
            </w:r>
          </w:p>
        </w:tc>
        <w:tc>
          <w:tcPr/>
          <w:p>
            <w:pPr>
              <w:pStyle w:val="Compact"/>
            </w:pPr>
            <w:r>
              <w:t xml:space="preserve">Tracking origin and lineage of data used by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Isolation</w:t>
            </w:r>
          </w:p>
        </w:tc>
        <w:tc>
          <w:tcPr/>
          <w:p>
            <w:pPr>
              <w:pStyle w:val="Compact"/>
            </w:pPr>
            <w:r>
              <w:t xml:space="preserve">Ensuring user data is not accessible to other sessions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revenue-and-business-terms"/>
    <w:p>
      <w:pPr>
        <w:pStyle w:val="Heading2"/>
      </w:pPr>
      <w:r>
        <w:t xml:space="preserve">REVENUE AND BUSINESS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Total Addressable Market - total revenue opportunity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MCMAP model where infrastructure enables rapid agent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Cost</w:t>
            </w:r>
          </w:p>
        </w:tc>
        <w:tc>
          <w:tcPr/>
          <w:p>
            <w:pPr>
              <w:pStyle w:val="Compact"/>
            </w:pPr>
            <w:r>
              <w:t xml:space="preserve">Cost of producing one additional unit (decreases per agent in MCMAP)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Time-to-Value</w:t>
            </w:r>
          </w:p>
        </w:tc>
        <w:tc>
          <w:tcPr/>
          <w:p>
            <w:pPr>
              <w:pStyle w:val="Compact"/>
            </w:pPr>
            <w:r>
              <w:t xml:space="preserve">Duration from project start to delivering business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document-references"/>
    <w:p>
      <w:pPr>
        <w:pStyle w:val="Heading2"/>
      </w:pPr>
      <w: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848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Primary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Strategic Platform Vision</w:t>
            </w:r>
          </w:p>
        </w:tc>
        <w:tc>
          <w:tcPr/>
          <w:p>
            <w:pPr>
              <w:pStyle w:val="Compact"/>
            </w:pPr>
            <w:r>
              <w:t xml:space="preserve">Platform opportunity, strategic value, agent overview, efficiency gains,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DLP, data protection,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Agent inventory, capability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Dataverse schema,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Prompt specifications, agent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Support,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Support contacts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