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mcmap-glossary-and-terminology-reference"/>
    <w:p>
      <w:pPr>
        <w:pStyle w:val="Heading1"/>
        <w:keepNext/>
        <w:keepLines/>
      </w:pPr>
      <w:r>
        <w:rPr>
          <w:color w:val="FF5F00"/>
        </w:rPr>
        <w:t xml:space="preserve">MCMAP GLOSSARY AND TERMINOLOGY REFERENCE</w:t>
      </w:r>
    </w:p>
    <w:p>
      <w:pPr>
        <w:pStyle w:val="FirstParagraph"/>
      </w:pPr>
      <w:r>
        <w:t xml:space="preserve">This document provides definitions for all acronyms, terms, and concepts used across MCMAP documentation.</w:t>
      </w:r>
    </w:p>
    <w:p>
      <w:r>
        <w:pict>
          <v:rect style="width:0;height:1.5pt" o:hralign="center" o:hrstd="t" o:hr="t"/>
        </w:pict>
      </w:r>
    </w:p>
    <w:bookmarkStart w:id="18" w:name="agent-codes"/>
    <w:p>
      <w:pPr>
        <w:pStyle w:val="Heading2"/>
        <w:pageBreakBefore/>
        <w:keepNext/>
        <w:keepLines/>
      </w:pPr>
      <w:r>
        <w:rPr>
          <w:color w:val="FF5F00"/>
        </w:rPr>
        <w:t xml:space="preserve">AGENT CODES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900"/>
        <w:gridCol w:w="1900"/>
        <w:gridCol w:w="4118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Code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Name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Description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ANL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Analytics Agent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Budget projections, forecasting, ROI calculations, scenario modeling, statistical validation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AUD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Audience Agent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Segmentation, LTV modeling, propensity scoring, identity resolution, targeting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CA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Consulting Analysis Agent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Business case development, strategic analysis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CHA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Channel Agent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Media mix optimization, channel selection, benchmarking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CHG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Change Management Agent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Adoption planning, stakeholder mapping, readiness assessment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CST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Consulting Strategy Agent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Framework selection, RICE/MoSCoW prioritization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DOC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Document Agent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Report generation, deliverable creation, template management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DOCS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Documentation Assistant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Architecture discovery, terminology lookup (this agent)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MKT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Marketing Agent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Campaign strategy, creative briefs, competitive intelligence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ORC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Orchestrator Agent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Intent routing, session management, agent coordination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PRF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Performance Agent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Attribution modeling, anomaly detection, optimization recommendations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SPO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Supply Path Optimization Agent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Programmatic optimization, fee analysis, working media ratio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platform-acronyms"/>
    <w:p>
      <w:pPr>
        <w:pStyle w:val="Heading2"/>
        <w:pageBreakBefore/>
        <w:keepNext/>
        <w:keepLines/>
      </w:pPr>
      <w:r>
        <w:rPr>
          <w:color w:val="FF5F00"/>
        </w:rPr>
        <w:t xml:space="preserve">PLATFORM ACRONYMS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227"/>
        <w:gridCol w:w="2722"/>
        <w:gridCol w:w="297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Acronym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Full Name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Definition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CAL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Capability Abstraction Layer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Architecture pattern that separates capability definitions from implementations, enabling portability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DLP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Data Loss Prevention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Mastercard security policies controlling data flow and connector usage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EAP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Enterprise Agent Platform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Shared infrastructure layer supporting all MCMAP agents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KB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Knowledge Base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Document collection providing domain expertise to agents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MCMAP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Mastercard Consulting &amp; Marketing Agent Platform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Full platform name encompassing all agents and capabilities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MPA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Media Planning Agent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Primary workflow agent for media planning; also refers to the media planning domain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ORC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Orchestrator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Central routing and coordination agent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RAG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Retrieval-Augmented Generation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Pattern where AI retrieves relevant documents before generating responses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technology-terms"/>
    <w:p>
      <w:pPr>
        <w:pStyle w:val="Heading2"/>
        <w:pageBreakBefore/>
        <w:keepNext/>
        <w:keepLines/>
      </w:pPr>
      <w:r>
        <w:rPr>
          <w:color w:val="FF5F00"/>
        </w:rPr>
        <w:t xml:space="preserve">TECHNOLOGY TERMS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528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Term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Definition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AI Builder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Microsoft’s low-code AI service for creating custom prompts and models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Capability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Discrete computational function that agents can invoke (e.g., ANL_MARGINAL_RETURN)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Capability Dispatcher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Flow that routes capability requests to appropriate implementations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Copilot Studio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Microsoft’s conversational AI platform for building agents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Dataverse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Microsoft’s database platform for Power Platform applications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Power Automate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Microsoft’s workflow automation service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SharePoint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Microsoft’s document management platform hosting MCMAP knowledge bases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Topic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Copilot Studio conversation unit that handles specific user intents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metrics-and-kpis"/>
    <w:p>
      <w:pPr>
        <w:pStyle w:val="Heading2"/>
        <w:pageBreakBefore/>
        <w:keepNext/>
        <w:keepLines/>
      </w:pPr>
      <w:r>
        <w:rPr>
          <w:color w:val="FF5F00"/>
        </w:rPr>
        <w:t xml:space="preserve">METRICS AND KPIs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528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Term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Definition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CAC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Customer Acquisition Cost - total cost to acquire one customer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CPA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Cost Per Acquisition - cost per conversion action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CPC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Cost Per Click - cost for each ad click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CPM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Cost Per Thousand Impressions - cost per 1,000 ad views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CTR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Click-Through Rate - percentage of impressions that result in clicks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Incrementality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True causal impact of marketing, measuring lift vs. what would have happened anyway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LTV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Lifetime Value - total expected revenue from a customer relationship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NBI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Net Bidder Impact - programmatic metric measuring true media value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ROAS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Return on Ad Spend - revenue generated per dollar of ad spend (note: MCMAP challenges this as primary KPI)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ROI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Return on Investment - general measure of investment efficiency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Working Media Ratio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Percentage of media budget reaching actual impressions vs. fees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consulting-frameworks"/>
    <w:p>
      <w:pPr>
        <w:pStyle w:val="Heading2"/>
        <w:pageBreakBefore/>
        <w:keepNext/>
        <w:keepLines/>
      </w:pPr>
      <w:r>
        <w:rPr>
          <w:color w:val="FF5F00"/>
        </w:rPr>
        <w:t xml:space="preserve">CONSULTING FRAMEWORKS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124"/>
        <w:gridCol w:w="2511"/>
        <w:gridCol w:w="1352"/>
        <w:gridCol w:w="1931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Framework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Description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Agent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Use Case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ADKAR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Change management model: Awareness, Desire, Knowledge, Ability, Reinforcement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CHG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Organizational change readiness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BCG Matrix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Boston Consulting Group portfolio analysis (Stars, Cash Cows, Dogs, Question Marks)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CST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Product/investment prioritization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Blue Ocean Strategy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Creating uncontested market space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CST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Market positioning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Competitive Forces (Porter’s Five)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Industry competition analysis framework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CST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Competitive analysis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Customer Journey Mapping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End-to-end customer experience visualization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AUD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Customer experience design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DMAIC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Six Sigma improvement: Define, Measure, Analyze, Improve, Control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CA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Process optimization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Jobs-to-be-Done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Customer motivation framework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AUD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Product development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Kotter 8-Step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Change management process from urgency through anchoring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CHG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Large-scale transformation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McKinsey 7S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Organizational alignment: Strategy, Structure, Systems, Shared Values, Style, Staff, Skills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CST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Organizational design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MoSCoW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Prioritization: Must have, Should have, Could have, Won’t have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CST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Requirements prioritization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OKRs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Objectives and Key Results goal-setting framework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CST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Performance management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PESTEL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Environmental analysis: Political, Economic, Social, Technological, Environmental, Legal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CST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Market analysis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RACI Matrix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Responsibility assignment: Responsible, Accountable, Consulted, Informed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CHG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Role clarity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RICE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Prioritization scoring: Reach, Impact, Confidence, Effort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CST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Feature/initiative prioritization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RFM Analysis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Customer segmentation: Recency, Frequency, Monetary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AUD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Customer value assessment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SWOT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Situational analysis: Strengths, Weaknesses, Opportunities, Threats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CST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Strategic planning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TAM/SAM/SOM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Market sizing: Total, Serviceable, Obtainable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CA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Market opportunity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Value Chain Analysis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Primary and support activity optimization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CST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Operational efficiency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VRIO Framework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Resource-based analysis: Value, Rarity, Imitability, Organization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CST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Competitive advantage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built-in-analytical-models"/>
    <w:p>
      <w:pPr>
        <w:pStyle w:val="Heading2"/>
        <w:pageBreakBefore/>
        <w:keepNext/>
        <w:keepLines/>
      </w:pPr>
      <w:r>
        <w:rPr>
          <w:color w:val="FF5F00"/>
        </w:rPr>
        <w:t xml:space="preserve">BUILT-IN ANALYTICAL MODELS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584"/>
        <w:gridCol w:w="2941"/>
        <w:gridCol w:w="1584"/>
        <w:gridCol w:w="181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Model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Description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Agent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Output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Attribution Models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Multi-touch attribution (Linear, Time Decay, Position-Based, Data-Driven)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PRF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Channel contribution analysis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Bayesian Inference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Probabilistic updating with prior knowledge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ANL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Confidence-adjusted predictions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Budget Allocation Optimizer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Mathematical optimization for media mix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CHA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Optimal spend distribution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Causal Inference Models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Difference-in-differences, propensity matching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ANL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Incrementality measurement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Channel Mix Modeling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Cross-channel synergy and saturation analysis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CHA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Mix recommendations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Customer Lifetime Value (LTV)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Predictive customer value calculation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AUD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Segment prioritization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Diminishing Returns Curves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Logarithmic response modeling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ANL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Saturation point identification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Fee Waterfall Analysis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Programmatic fee decomposition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SPO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Working media optimization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Holdout Test Design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Statistical experiment configuration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PRF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Test validity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Identity Resolution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Cross-device matching algorithms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AUD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Unified customer view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Incrementality Measurement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Causal lift estimation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PRF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True marketing impact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Journey State Detection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Funnel position identification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AUD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Targeting optimization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Marginal Return Calculator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Incremental value per spend unit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ANL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Budget efficiency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Net Bidder Impact (NBI)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Programmatic value assessment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SPO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Partner evaluation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Propensity Scoring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Conversion likelihood prediction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AUD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Targeting precision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Response Curve Modeling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Spend-to-outcome relationships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ANL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Optimization inputs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Scenario Comparison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Multi-scenario evaluation with risk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ANL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Decision support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Segment Prioritization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Multi-criteria audience ranking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AUD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Resource allocation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Supply Path Optimization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Fee minimization pathfinding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SPO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Cost efficiency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measurement-terms"/>
    <w:p>
      <w:pPr>
        <w:pStyle w:val="Heading2"/>
        <w:pageBreakBefore/>
        <w:keepNext/>
        <w:keepLines/>
      </w:pPr>
      <w:r>
        <w:rPr>
          <w:color w:val="FF5F00"/>
        </w:rPr>
        <w:t xml:space="preserve">MEASUREMENT TERMS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528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Term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Definition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Attribution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Assigning credit to marketing touchpoints for conversions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Diminishing Returns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Reduced incremental impact as spend increases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Frequency Cap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Maximum number of ad exposures per user in time period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Holdout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Control group excluded from marketing for testing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Lift Test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Experiment measuring incremental impact vs. control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Marginal Return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Additional value generated per additional unit of spend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Response Curve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Mathematical relationship between spend and outcome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Saturation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Point where additional spend yields minimal incremental return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programmatic-terms"/>
    <w:p>
      <w:pPr>
        <w:pStyle w:val="Heading2"/>
        <w:pageBreakBefore/>
        <w:keepNext/>
        <w:keepLines/>
      </w:pPr>
      <w:r>
        <w:rPr>
          <w:color w:val="FF5F00"/>
        </w:rPr>
        <w:t xml:space="preserve">PROGRAMMATIC TERMS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528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Term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Definition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DSP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Demand-Side Platform - system for buying programmatic ads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Header Bidding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Auction technique allowing multiple exchanges to bid simultaneously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SSP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Supply-Side Platform - system for selling ad inventory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Take Rate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Percentage of spend captured by intermediaries as fees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security-terms"/>
    <w:p>
      <w:pPr>
        <w:pStyle w:val="Heading2"/>
        <w:pageBreakBefore/>
        <w:keepNext/>
        <w:keepLines/>
      </w:pPr>
      <w:r>
        <w:rPr>
          <w:color w:val="FF5F00"/>
        </w:rPr>
        <w:t xml:space="preserve">SECURITY TERMS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528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Term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Definition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Approved Connector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Microsoft connector permitted under Mastercard DLP policy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Azure AD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Microsoft’s identity and access management service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Data Provenance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Tracking origin and lineage of data used by agents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Session Isolation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Ensuring user data is not accessible to other sessions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revenue-and-business-terms"/>
    <w:p>
      <w:pPr>
        <w:pStyle w:val="Heading2"/>
        <w:pageBreakBefore/>
        <w:keepNext/>
        <w:keepLines/>
      </w:pPr>
      <w:r>
        <w:rPr>
          <w:color w:val="FF5F00"/>
        </w:rPr>
        <w:t xml:space="preserve">REVENUE AND BUSINESS TERMS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528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Term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Definition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TAM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Total Addressable Market - total revenue opportunity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Agent Factory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MCMAP model where infrastructure enables rapid agent creation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Marginal Cost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Cost of producing one additional unit (decreases per agent in MCMAP)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Time-to-Value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Duration from project start to delivering business value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document-references"/>
    <w:p>
      <w:pPr>
        <w:pStyle w:val="Heading2"/>
        <w:pageBreakBefore/>
        <w:keepNext/>
        <w:keepLines/>
      </w:pPr>
      <w:r>
        <w:rPr>
          <w:color w:val="FF5F00"/>
        </w:rPr>
        <w:t xml:space="preserve">DOCUMENT REFERENCES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848"/>
        <w:gridCol w:w="1848"/>
        <w:gridCol w:w="4224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Doc #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Title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Primary Topics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00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Strategic Platform Vision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Platform opportunity, strategic value, agent overview, efficiency gains, revenue opportunities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02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System Architecture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Technical stack, integration patterns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03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Security Compliance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DLP, data protection, audit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04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Agent Capabilities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Agent inventory, capability reference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05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Data Architecture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Dataverse schema, data flows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06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AI Builder Integration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Prompt specifications, agent configuration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07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Operational Runbook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Support, maintenance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08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Quality Assurance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Testing framework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09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Future Use Cases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Strategic opportunities, expansion areas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10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Contact Reference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Support contacts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2.0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January 25, 2026</w:t>
      </w:r>
    </w:p>
    <w:bookmarkEnd w:id="28"/>
    <w:bookmarkEnd w:id="29"/>
    <w:sectPr w:rsidR="00FC693F" w:rsidRPr="0006063C" w:rsidSect="00034616">
      <w:footerReference r:id="rId9" w:type="default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680"/>
        <w:tab w:val="right" w:pos="9360"/>
      </w:tabs>
    </w:pPr>
    <w:r>
      <w:tab/>
    </w:r>
    <w:r>
      <w:rPr>
        <w:rFonts w:ascii="Calibri" w:hAnsi="Calibri"/>
        <w:sz w:val="18"/>
      </w:rPr>
      <w:t xml:space="preserve">MASTERCARD CONFIDENTIAL </w:t>
    </w:r>
    <w:r>
      <w:rPr>
        <w:rFonts w:ascii="Calibri" w:hAnsi="Calibri"/>
        <w:sz w:val="18"/>
      </w:rPr>
      <w:t>© 2026</w:t>
    </w:r>
    <w:r>
      <w:tab/>
    </w:r>
    <w:r>
      <w:rPr>
        <w:rFonts w:ascii="Calibri" w:hAnsi="Calibri"/>
        <w:sz w:val="18"/>
      </w:rPr>
      <w:t xml:space="preserve">Page </w:t>
    </w:r>
    <w:r>
      <w:rPr>
        <w:rFonts w:ascii="Calibri" w:hAnsi="Calibri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="Calibri Light" w:asciiTheme="majorHAnsi" w:cstheme="majorBidi" w:eastAsiaTheme="majorEastAsia" w:hAnsi="Calibri Light" w:hAnsiTheme="majorHAnsi"/>
      <w:b/>
      <w:bCs/>
      <w:i/>
      <w:iCs/>
      <w:color w:val="FF5F00"/>
      <w:sz w:val="24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val="FF5F0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val="FF5F0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val="FF5F00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val="FF5F00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2026-01-26T04:12:52Z</dcterms:created>
  <dcterms:modified xsi:type="dcterms:W3CDTF">2026-01-26T04:12:52Z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