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00-C-MCMAP_Chief_AI_Officer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mcmap-ai-leadership-brief"/>
    <w:p>
      <w:pPr>
        <w:pStyle w:val="Heading1"/>
      </w:pPr>
      <w:r>
        <w:t xml:space="preserve">MCMAP: AI LEADERSHIP BRIEF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Chief AI Officer / Head of AI &amp; Machine Learning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Confidential</w:t>
      </w:r>
      <w:r>
        <w:t xml:space="preserve"> </w:t>
      </w:r>
      <w:r>
        <w:rPr>
          <w:b/>
          <w:bCs/>
        </w:rPr>
        <w:t xml:space="preserve">Read Time:</w:t>
      </w:r>
      <w:r>
        <w:t xml:space="preserve"> </w:t>
      </w:r>
      <w:r>
        <w:t xml:space="preserve">8 minutes</w:t>
      </w:r>
    </w:p>
    <w:p>
      <w:r>
        <w:pict>
          <v:rect style="width:0;height:1.5pt" o:hralign="center" o:hrstd="t" o:hr="t"/>
        </w:pict>
      </w:r>
    </w:p>
    <w:bookmarkStart w:id="9" w:name="the-ai-governance-case"/>
    <w:p>
      <w:pPr>
        <w:pStyle w:val="Heading2"/>
      </w:pPr>
      <w:r>
        <w:t xml:space="preserve">THE AI GOVERNANCE CASE</w:t>
      </w:r>
    </w:p>
    <w:p>
      <w:pPr>
        <w:pStyle w:val="BlockText"/>
      </w:pPr>
      <w:r>
        <w:rPr>
          <w:b/>
          <w:bCs/>
        </w:rPr>
        <w:t xml:space="preserve">MCMAP is responsible AI by design, not by afterthought.</w:t>
      </w:r>
    </w:p>
    <w:p>
      <w:pPr>
        <w:pStyle w:val="BlockText"/>
      </w:pPr>
      <w:r>
        <w:t xml:space="preserve">Knowledge-grounded responses. Complete audit trails. Human oversight at every step.</w:t>
      </w:r>
    </w:p>
    <w:p>
      <w:pPr>
        <w:pStyle w:val="BlockText"/>
      </w:pPr>
      <w:r>
        <w:t xml:space="preserve">This isn’t AI that operates in the shadows. It’s AI that shows its work, cites its sources, and defers to human judgment on every decision that matters.</w:t>
      </w:r>
    </w:p>
    <w:p>
      <w:r>
        <w:pict>
          <v:rect style="width:0;height:1.5pt" o:hralign="center" o:hrstd="t" o:hr="t"/>
        </w:pict>
      </w:r>
    </w:p>
    <w:bookmarkEnd w:id="9"/>
    <w:bookmarkStart w:id="12" w:name="ai-architecture-principles"/>
    <w:p>
      <w:pPr>
        <w:pStyle w:val="Heading2"/>
      </w:pPr>
      <w:r>
        <w:t xml:space="preserve">AI ARCHITECTURE PRINCIPLES</w:t>
      </w:r>
    </w:p>
    <w:bookmarkStart w:id="10" w:name="design-philosophy"/>
    <w:p>
      <w:pPr>
        <w:pStyle w:val="Heading3"/>
      </w:pPr>
      <w:r>
        <w:t xml:space="preserve">Design Philosophy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2946"/>
        <w:gridCol w:w="29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Grounded Generation</w:t>
            </w:r>
          </w:p>
        </w:tc>
        <w:tc>
          <w:tcPr/>
          <w:p>
            <w:pPr>
              <w:pStyle w:val="Compact"/>
            </w:pPr>
            <w:r>
              <w:t xml:space="preserve">All responses cite knowledge base sources</w:t>
            </w:r>
          </w:p>
        </w:tc>
        <w:tc>
          <w:tcPr/>
          <w:p>
            <w:pPr>
              <w:pStyle w:val="Compact"/>
            </w:pPr>
            <w:r>
              <w:t xml:space="preserve">Prevents hallucination, enables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Human-in-the-Loop</w:t>
            </w:r>
          </w:p>
        </w:tc>
        <w:tc>
          <w:tcPr/>
          <w:p>
            <w:pPr>
              <w:pStyle w:val="Compact"/>
            </w:pPr>
            <w:r>
              <w:t xml:space="preserve">Users review all outputs before action</w:t>
            </w:r>
          </w:p>
        </w:tc>
        <w:tc>
          <w:tcPr/>
          <w:p>
            <w:pPr>
              <w:pStyle w:val="Compact"/>
            </w:pPr>
            <w:r>
              <w:t xml:space="preserve">Maintains human accountability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Transparent reasoning with citations</w:t>
            </w:r>
          </w:p>
        </w:tc>
        <w:tc>
          <w:tcPr/>
          <w:p>
            <w:pPr>
              <w:pStyle w:val="Compact"/>
            </w:pPr>
            <w:r>
              <w:t xml:space="preserve">Builds trust, enables debugging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Complete telemetry of all operations</w:t>
            </w:r>
          </w:p>
        </w:tc>
        <w:tc>
          <w:tcPr/>
          <w:p>
            <w:pPr>
              <w:pStyle w:val="Compact"/>
            </w:pPr>
            <w:r>
              <w:t xml:space="preserve">Supports compliance, incident 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</w:pPr>
            <w:r>
              <w:t xml:space="preserve">Conservative defaults, graceful degradation</w:t>
            </w:r>
          </w:p>
        </w:tc>
        <w:tc>
          <w:tcPr/>
          <w:p>
            <w:pPr>
              <w:pStyle w:val="Compact"/>
            </w:pPr>
            <w:r>
              <w:t xml:space="preserve">Minimizes harm from edge cases</w:t>
            </w:r>
          </w:p>
        </w:tc>
      </w:tr>
    </w:tbl>
    <w:bookmarkEnd w:id="10"/>
    <w:bookmarkStart w:id="11" w:name="knowledge-grounded-architecture"/>
    <w:p>
      <w:pPr>
        <w:pStyle w:val="Heading3"/>
      </w:pPr>
      <w:r>
        <w:t xml:space="preserve">Knowledge-Grounded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GROUNDED GENERATION MODEL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User Query        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┌─────────────────────┐                                       │</w:t>
      </w:r>
      <w:r>
        <w:br/>
      </w:r>
      <w:r>
        <w:rPr>
          <w:rStyle w:val="VerbatimChar"/>
        </w:rPr>
        <w:t xml:space="preserve">│   │ Knowledge Retrieval │ ← SharePoint KB (37+ documents)       │</w:t>
      </w:r>
      <w:r>
        <w:br/>
      </w:r>
      <w:r>
        <w:rPr>
          <w:rStyle w:val="VerbatimChar"/>
        </w:rPr>
        <w:t xml:space="preserve">│   └──────────┬──────────┘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┌─────────────────────┐                                       │</w:t>
      </w:r>
      <w:r>
        <w:br/>
      </w:r>
      <w:r>
        <w:rPr>
          <w:rStyle w:val="VerbatimChar"/>
        </w:rPr>
        <w:t xml:space="preserve">│   │ Grounded Generation │ ← AI Builder (structured prompts)     │</w:t>
      </w:r>
      <w:r>
        <w:br/>
      </w:r>
      <w:r>
        <w:rPr>
          <w:rStyle w:val="VerbatimChar"/>
        </w:rPr>
        <w:t xml:space="preserve">│   └──────────┬──────────┘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┌─────────────────────┐                                       │</w:t>
      </w:r>
      <w:r>
        <w:br/>
      </w:r>
      <w:r>
        <w:rPr>
          <w:rStyle w:val="VerbatimChar"/>
        </w:rPr>
        <w:t xml:space="preserve">│   │  Response + Citations│ → User reviews before action         │</w:t>
      </w:r>
      <w:r>
        <w:br/>
      </w:r>
      <w:r>
        <w:rPr>
          <w:rStyle w:val="VerbatimChar"/>
        </w:rPr>
        <w:t xml:space="preserve">│   └─────────────────────┘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ai-quality-metrics"/>
    <w:p>
      <w:pPr>
        <w:pStyle w:val="Heading2"/>
      </w:pPr>
      <w:r>
        <w:t xml:space="preserve">AI QUALITY METRICS</w:t>
      </w:r>
    </w:p>
    <w:bookmarkStart w:id="13" w:name="current-performance"/>
    <w:p>
      <w:pPr>
        <w:pStyle w:val="Heading3"/>
      </w:pPr>
      <w:r>
        <w:t xml:space="preserve">Current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408"/>
        <w:gridCol w:w="1760"/>
        <w:gridCol w:w="3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 Score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97.2%</w:t>
            </w:r>
          </w:p>
        </w:tc>
        <w:tc>
          <w:tcPr/>
          <w:p>
            <w:pPr>
              <w:pStyle w:val="Compact"/>
            </w:pPr>
            <w:r>
              <w:t xml:space="preserve">LLM-based evaluation across 156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Hallucination Rate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  <w:tc>
          <w:tcPr/>
          <w:p>
            <w:pPr>
              <w:pStyle w:val="Compact"/>
            </w:pPr>
            <w:r>
              <w:t xml:space="preserve">Citation verification sampling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Relevance</w:t>
            </w:r>
          </w:p>
        </w:tc>
        <w:tc>
          <w:tcPr/>
          <w:p>
            <w:pPr>
              <w:pStyle w:val="Compact"/>
            </w:pPr>
            <w:r>
              <w:t xml:space="preserve">&gt;90%</w:t>
            </w:r>
          </w:p>
        </w:tc>
        <w:tc>
          <w:tcPr/>
          <w:p>
            <w:pPr>
              <w:pStyle w:val="Compact"/>
            </w:pPr>
            <w:r>
              <w:t xml:space="preserve">94.1%</w:t>
            </w:r>
          </w:p>
        </w:tc>
        <w:tc>
          <w:tcPr/>
          <w:p>
            <w:pPr>
              <w:pStyle w:val="Compact"/>
            </w:pPr>
            <w:r>
              <w:t xml:space="preserve">Semantic similarity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Grounding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98.3%</w:t>
            </w:r>
          </w:p>
        </w:tc>
        <w:tc>
          <w:tcPr/>
          <w:p>
            <w:pPr>
              <w:pStyle w:val="Compact"/>
            </w:pPr>
            <w:r>
              <w:t xml:space="preserve">Citation presence in responses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Harmful Content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Safety classifier evaluation</w:t>
            </w:r>
          </w:p>
        </w:tc>
      </w:tr>
    </w:tbl>
    <w:bookmarkEnd w:id="13"/>
    <w:bookmarkStart w:id="14" w:name="evaluation-framework"/>
    <w:p>
      <w:pPr>
        <w:pStyle w:val="Heading3"/>
      </w:pPr>
      <w:r>
        <w:t xml:space="preserve">Evaluation Framework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Workflows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Full conversation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Non-Linear Navigation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Context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Error handling,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Changes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Adaptation to new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Invocation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Correct tool selection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responsible-ai-compliance"/>
    <w:p>
      <w:pPr>
        <w:pStyle w:val="Heading2"/>
      </w:pPr>
      <w:r>
        <w:t xml:space="preserve">RESPONSIBLE AI COMPLIANCE</w:t>
      </w:r>
    </w:p>
    <w:bookmarkStart w:id="16" w:name="eu-ai-act-alignment"/>
    <w:p>
      <w:pPr>
        <w:pStyle w:val="Heading3"/>
      </w:pPr>
      <w:r>
        <w:t xml:space="preserve">EU AI Act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3424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MCMAP Approach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Classification</w:t>
            </w:r>
          </w:p>
        </w:tc>
        <w:tc>
          <w:tcPr/>
          <w:p>
            <w:pPr>
              <w:pStyle w:val="Compact"/>
            </w:pPr>
            <w:r>
              <w:t xml:space="preserve">Internal tool, no autonomous decisions</w:t>
            </w:r>
          </w:p>
        </w:tc>
        <w:tc>
          <w:tcPr/>
          <w:p>
            <w:pPr>
              <w:pStyle w:val="Compact"/>
            </w:pPr>
            <w:r>
              <w:t xml:space="preserve">LOW RISK 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All outputs cite sources, explain reasoning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Oversight</w:t>
            </w:r>
          </w:p>
        </w:tc>
        <w:tc>
          <w:tcPr/>
          <w:p>
            <w:pPr>
              <w:pStyle w:val="Compact"/>
            </w:pPr>
            <w:r>
              <w:t xml:space="preserve">Users review all outputs, no auto-execution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Governance</w:t>
            </w:r>
          </w:p>
        </w:tc>
        <w:tc>
          <w:tcPr/>
          <w:p>
            <w:pPr>
              <w:pStyle w:val="Compact"/>
            </w:pPr>
            <w:r>
              <w:t xml:space="preserve">No PII processing, session isolation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Documentation</w:t>
            </w:r>
          </w:p>
        </w:tc>
        <w:tc>
          <w:tcPr/>
          <w:p>
            <w:pPr>
              <w:pStyle w:val="Compact"/>
            </w:pPr>
            <w:r>
              <w:t xml:space="preserve">Full architecture and capability docs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</w:tr>
    </w:tbl>
    <w:bookmarkEnd w:id="16"/>
    <w:bookmarkStart w:id="17" w:name="internal-ai-governance"/>
    <w:p>
      <w:pPr>
        <w:pStyle w:val="Heading3"/>
      </w:pPr>
      <w:r>
        <w:t xml:space="preserve">Internal AI Governance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362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Governance</w:t>
            </w:r>
          </w:p>
        </w:tc>
        <w:tc>
          <w:tcPr/>
          <w:p>
            <w:pPr>
              <w:pStyle w:val="Compact"/>
            </w:pPr>
            <w:r>
              <w:t xml:space="preserve">Microsoft-managed LLM (no custom training)</w:t>
            </w:r>
          </w:p>
        </w:tc>
        <w:tc>
          <w:tcPr/>
          <w:p>
            <w:pPr>
              <w:pStyle w:val="Compact"/>
            </w:pPr>
            <w:r>
              <w:t xml:space="preserve">Platform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Bias Monitoring</w:t>
            </w:r>
          </w:p>
        </w:tc>
        <w:tc>
          <w:tcPr/>
          <w:p>
            <w:pPr>
              <w:pStyle w:val="Compact"/>
            </w:pPr>
            <w:r>
              <w:t xml:space="preserve">Evaluation suite includes fairness checks</w:t>
            </w:r>
          </w:p>
        </w:tc>
        <w:tc>
          <w:tcPr/>
          <w:p>
            <w:pPr>
              <w:pStyle w:val="Compact"/>
            </w:pPr>
            <w:r>
              <w:t xml:space="preserve">Test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 Detection</w:t>
            </w:r>
          </w:p>
        </w:tc>
        <w:tc>
          <w:tcPr/>
          <w:p>
            <w:pPr>
              <w:pStyle w:val="Compact"/>
            </w:pPr>
            <w:r>
              <w:t xml:space="preserve">Regular re-evaluation against benchmarks</w:t>
            </w:r>
          </w:p>
        </w:tc>
        <w:tc>
          <w:tcPr/>
          <w:p>
            <w:pPr>
              <w:pStyle w:val="Compact"/>
            </w:pPr>
            <w:r>
              <w:t xml:space="preserve">Monitoring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Defined escalation for AI-related issues</w:t>
            </w:r>
          </w:p>
        </w:tc>
        <w:tc>
          <w:tcPr/>
          <w:p>
            <w:pPr>
              <w:pStyle w:val="Compact"/>
            </w:pPr>
            <w:r>
              <w:t xml:space="preserve">Runbook documented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Control</w:t>
            </w:r>
          </w:p>
        </w:tc>
        <w:tc>
          <w:tcPr/>
          <w:p>
            <w:pPr>
              <w:pStyle w:val="Compact"/>
            </w:pPr>
            <w:r>
              <w:t xml:space="preserve">All KB and prompt changes version-controlled</w:t>
            </w:r>
          </w:p>
        </w:tc>
        <w:tc>
          <w:tcPr/>
          <w:p>
            <w:pPr>
              <w:pStyle w:val="Compact"/>
            </w:pPr>
            <w:r>
              <w:t xml:space="preserve">Git 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hallucination-mitigation"/>
    <w:p>
      <w:pPr>
        <w:pStyle w:val="Heading2"/>
      </w:pPr>
      <w:r>
        <w:t xml:space="preserve">HALLUCINATION MITIGATION</w:t>
      </w:r>
    </w:p>
    <w:bookmarkStart w:id="19" w:name="multi-layer-defense"/>
    <w:p>
      <w:pPr>
        <w:pStyle w:val="Heading3"/>
      </w:pPr>
      <w:r>
        <w:t xml:space="preserve">Multi-Layer Defense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26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Effectiveness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Grounding</w:t>
            </w:r>
          </w:p>
        </w:tc>
        <w:tc>
          <w:tcPr/>
          <w:p>
            <w:pPr>
              <w:pStyle w:val="Compact"/>
            </w:pPr>
            <w:r>
              <w:t xml:space="preserve">Responses must cite KB sources</w:t>
            </w:r>
          </w:p>
        </w:tc>
        <w:tc>
          <w:tcPr/>
          <w:p>
            <w:pPr>
              <w:pStyle w:val="Compact"/>
            </w:pPr>
            <w:r>
              <w:t xml:space="preserve">HIGH - 98.3% grounded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Structured Prompts</w:t>
            </w:r>
          </w:p>
        </w:tc>
        <w:tc>
          <w:tcPr/>
          <w:p>
            <w:pPr>
              <w:pStyle w:val="Compact"/>
            </w:pPr>
            <w:r>
              <w:t xml:space="preserve">JSON I/O with defined schemas</w:t>
            </w:r>
          </w:p>
        </w:tc>
        <w:tc>
          <w:tcPr/>
          <w:p>
            <w:pPr>
              <w:pStyle w:val="Compact"/>
            </w:pPr>
            <w:r>
              <w:t xml:space="preserve">HIGH - Reduces open-ended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Temperature Control</w:t>
            </w:r>
          </w:p>
        </w:tc>
        <w:tc>
          <w:tcPr/>
          <w:p>
            <w:pPr>
              <w:pStyle w:val="Compact"/>
            </w:pPr>
            <w:r>
              <w:t xml:space="preserve">Low temperature (0.1-0.3) for analytical tasks</w:t>
            </w:r>
          </w:p>
        </w:tc>
        <w:tc>
          <w:tcPr/>
          <w:p>
            <w:pPr>
              <w:pStyle w:val="Compact"/>
            </w:pPr>
            <w:r>
              <w:t xml:space="preserve">HIGH - Reduces randomness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 Thresholds</w:t>
            </w:r>
          </w:p>
        </w:tc>
        <w:tc>
          <w:tcPr/>
          <w:p>
            <w:pPr>
              <w:pStyle w:val="Compact"/>
            </w:pPr>
            <w:r>
              <w:t xml:space="preserve">Low-confidence responses flagged</w:t>
            </w:r>
          </w:p>
        </w:tc>
        <w:tc>
          <w:tcPr/>
          <w:p>
            <w:pPr>
              <w:pStyle w:val="Compact"/>
            </w:pPr>
            <w:r>
              <w:t xml:space="preserve">MEDIUM - Enables human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Review</w:t>
            </w:r>
          </w:p>
        </w:tc>
        <w:tc>
          <w:tcPr/>
          <w:p>
            <w:pPr>
              <w:pStyle w:val="Compact"/>
            </w:pPr>
            <w:r>
              <w:t xml:space="preserve">Users validate all outputs</w:t>
            </w:r>
          </w:p>
        </w:tc>
        <w:tc>
          <w:tcPr/>
          <w:p>
            <w:pPr>
              <w:pStyle w:val="Compact"/>
            </w:pPr>
            <w:r>
              <w:t xml:space="preserve">HIGH - Final quality gate</w:t>
            </w:r>
          </w:p>
        </w:tc>
      </w:tr>
    </w:tbl>
    <w:bookmarkEnd w:id="19"/>
    <w:bookmarkStart w:id="20" w:name="residual-risk"/>
    <w:p>
      <w:pPr>
        <w:pStyle w:val="Heading3"/>
      </w:pPr>
      <w:r>
        <w:t xml:space="preserve">Residual Risk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262"/>
        <w:gridCol w:w="150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Plausible-sounding wrong answer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Citation requirements, user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Outdated information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Regular KB updates, timestamp awareness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confusion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Session isolation, clear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input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Input validation,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data-protection"/>
    <w:p>
      <w:pPr>
        <w:pStyle w:val="Heading2"/>
      </w:pPr>
      <w:r>
        <w:t xml:space="preserve">DATA PROTECTION</w:t>
      </w:r>
    </w:p>
    <w:bookmarkStart w:id="22" w:name="what-data-mcmap-processes"/>
    <w:p>
      <w:pPr>
        <w:pStyle w:val="Heading3"/>
      </w:pPr>
      <w:r>
        <w:t xml:space="preserve">What Data MCMAP Processes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Processed?</w:t>
            </w:r>
          </w:p>
        </w:tc>
        <w:tc>
          <w:tcPr/>
          <w:p>
            <w:pPr>
              <w:pStyle w:val="Compact"/>
            </w:pPr>
            <w:r>
              <w:t xml:space="preserve">Retained?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queries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Session only</w:t>
            </w:r>
          </w:p>
        </w:tc>
        <w:tc>
          <w:tcPr/>
          <w:p>
            <w:pPr>
              <w:pStyle w:val="Compact"/>
            </w:pPr>
            <w:r>
              <w:t xml:space="preserve">Dataverse (encrypted)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responses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Session only</w:t>
            </w:r>
          </w:p>
        </w:tc>
        <w:tc>
          <w:tcPr/>
          <w:p>
            <w:pPr>
              <w:pStyle w:val="Compact"/>
            </w:pPr>
            <w:r>
              <w:t xml:space="preserve">Dataverse (encrypted)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state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Dataverse (encrypted)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Dataverse (encrypted)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Not processed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Not processed</w:t>
            </w:r>
          </w:p>
        </w:tc>
      </w:tr>
    </w:tbl>
    <w:bookmarkEnd w:id="22"/>
    <w:bookmarkStart w:id="23" w:name="data-flow-diagram"/>
    <w:p>
      <w:pPr>
        <w:pStyle w:val="Heading3"/>
      </w:pPr>
      <w:r>
        <w:t xml:space="preserve">Data Flow Diagram</w:t>
      </w:r>
    </w:p>
    <w:p>
      <w:pPr>
        <w:pStyle w:val="SourceCode"/>
      </w:pPr>
      <w:r>
        <w:rPr>
          <w:rStyle w:val="VerbatimChar"/>
        </w:rPr>
        <w:t xml:space="preserve">User Input → [DLP Check] → Agent Processing → [No PII] → Response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 Telemetry Logging</w:t>
      </w:r>
      <w:r>
        <w:br/>
      </w:r>
      <w:r>
        <w:rPr>
          <w:rStyle w:val="VerbatimChar"/>
        </w:rPr>
        <w:t xml:space="preserve">                           (Anonymized, No Content)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model-dependencies"/>
    <w:p>
      <w:pPr>
        <w:pStyle w:val="Heading2"/>
      </w:pPr>
      <w:r>
        <w:t xml:space="preserve">MODEL DEPENDENCIES</w:t>
      </w:r>
    </w:p>
    <w:bookmarkStart w:id="25" w:name="current-model-usage"/>
    <w:p>
      <w:pPr>
        <w:pStyle w:val="Heading3"/>
      </w:pPr>
      <w:r>
        <w:t xml:space="preserve">Current Model Usage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386"/>
        <w:gridCol w:w="198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Conversation</w:t>
            </w:r>
          </w:p>
        </w:tc>
        <w:tc>
          <w:tcPr/>
          <w:p>
            <w:pPr>
              <w:pStyle w:val="Compact"/>
            </w:pPr>
            <w:r>
              <w:t xml:space="preserve">GPT-4o (via AI Builder)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Microsoft Responsible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Prompts</w:t>
            </w:r>
          </w:p>
        </w:tc>
        <w:tc>
          <w:tcPr/>
          <w:p>
            <w:pPr>
              <w:pStyle w:val="Compact"/>
            </w:pPr>
            <w:r>
              <w:t xml:space="preserve">GPT-4o (via AI Builder)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Microsoft Responsible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Retrieval</w:t>
            </w:r>
          </w:p>
        </w:tc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Microsoft Responsible AI</w:t>
            </w:r>
          </w:p>
        </w:tc>
      </w:tr>
    </w:tbl>
    <w:bookmarkEnd w:id="25"/>
    <w:bookmarkStart w:id="26" w:name="model-risk-mitigation"/>
    <w:p>
      <w:pPr>
        <w:pStyle w:val="Heading3"/>
      </w:pPr>
      <w:r>
        <w:t xml:space="preserve">Model Risk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655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deprecation</w:t>
            </w:r>
          </w:p>
        </w:tc>
        <w:tc>
          <w:tcPr/>
          <w:p>
            <w:pPr>
              <w:pStyle w:val="Compact"/>
            </w:pPr>
            <w:r>
              <w:t xml:space="preserve">Abstraction layer enables model swap</w:t>
            </w:r>
          </w:p>
        </w:tc>
        <w:tc>
          <w:tcPr/>
          <w:p>
            <w:pPr>
              <w:pStyle w:val="Compact"/>
            </w:pPr>
            <w:r>
              <w:t xml:space="preserve">✓ Designed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drift</w:t>
            </w:r>
          </w:p>
        </w:tc>
        <w:tc>
          <w:tcPr/>
          <w:p>
            <w:pPr>
              <w:pStyle w:val="Compact"/>
            </w:pPr>
            <w:r>
              <w:t xml:space="preserve">Regular evaluation against benchmarks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</w:pPr>
            <w:r>
              <w:t xml:space="preserve">Input validation, structured prompts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leakage</w:t>
            </w:r>
          </w:p>
        </w:tc>
        <w:tc>
          <w:tcPr/>
          <w:p>
            <w:pPr>
              <w:pStyle w:val="Compact"/>
            </w:pPr>
            <w:r>
              <w:t xml:space="preserve">No training on MC data, Microsoft enterprise agreement</w:t>
            </w:r>
          </w:p>
        </w:tc>
        <w:tc>
          <w:tcPr/>
          <w:p>
            <w:pPr>
              <w:pStyle w:val="Compact"/>
            </w:pPr>
            <w:r>
              <w:t xml:space="preserve">✓ 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ai-governance-roadmap"/>
    <w:p>
      <w:pPr>
        <w:pStyle w:val="Heading2"/>
      </w:pPr>
      <w:r>
        <w:t xml:space="preserve">AI GOVERNANCE ROADMAP</w:t>
      </w:r>
    </w:p>
    <w:bookmarkStart w:id="28" w:name="current-state-production-ready"/>
    <w:p>
      <w:pPr>
        <w:pStyle w:val="Heading3"/>
      </w:pPr>
      <w:r>
        <w:t xml:space="preserve">Current State (Production Ready)</w:t>
      </w:r>
    </w:p>
    <w:p>
      <w:pPr>
        <w:pStyle w:val="Compact"/>
        <w:numPr>
          <w:ilvl w:val="0"/>
          <w:numId w:val="1001"/>
        </w:numPr>
      </w:pPr>
      <w:r>
        <w:t xml:space="preserve">✓ Knowledge-grounded generation</w:t>
      </w:r>
    </w:p>
    <w:p>
      <w:pPr>
        <w:pStyle w:val="Compact"/>
        <w:numPr>
          <w:ilvl w:val="0"/>
          <w:numId w:val="1001"/>
        </w:numPr>
      </w:pPr>
      <w:r>
        <w:t xml:space="preserve">✓ Complete audit logging</w:t>
      </w:r>
    </w:p>
    <w:p>
      <w:pPr>
        <w:pStyle w:val="Compact"/>
        <w:numPr>
          <w:ilvl w:val="0"/>
          <w:numId w:val="1001"/>
        </w:numPr>
      </w:pPr>
      <w:r>
        <w:t xml:space="preserve">✓ Human oversight model</w:t>
      </w:r>
    </w:p>
    <w:p>
      <w:pPr>
        <w:pStyle w:val="Compact"/>
        <w:numPr>
          <w:ilvl w:val="0"/>
          <w:numId w:val="1001"/>
        </w:numPr>
      </w:pPr>
      <w:r>
        <w:t xml:space="preserve">✓ Evaluation framework</w:t>
      </w:r>
    </w:p>
    <w:p>
      <w:pPr>
        <w:pStyle w:val="Compact"/>
        <w:numPr>
          <w:ilvl w:val="0"/>
          <w:numId w:val="1001"/>
        </w:numPr>
      </w:pPr>
      <w:r>
        <w:t xml:space="preserve">✓ No PII processing</w:t>
      </w:r>
    </w:p>
    <w:bookmarkEnd w:id="28"/>
    <w:bookmarkStart w:id="29" w:name="planned-enhancements"/>
    <w:p>
      <w:pPr>
        <w:pStyle w:val="Heading3"/>
      </w:pPr>
      <w:r>
        <w:t xml:space="preserve">Planned Enhancements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Enhancement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scoring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Flag low-confidence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Explanation generation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Natural language reasoning traces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testing expansion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Broader demographic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team exercises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Adversarial robustness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comparison framework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Evaluate alternative models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your-role-in-ai-success"/>
    <w:p>
      <w:pPr>
        <w:pStyle w:val="Heading2"/>
      </w:pPr>
      <w:r>
        <w:t xml:space="preserve">YOUR ROLE IN AI SUCCESS</w:t>
      </w:r>
    </w:p>
    <w:bookmarkStart w:id="31" w:name="what-we-need-from-ai-leadership"/>
    <w:p>
      <w:pPr>
        <w:pStyle w:val="Heading3"/>
      </w:pPr>
      <w:r>
        <w:t xml:space="preserve">What We Need From AI Leadership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governance review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  <w:tc>
          <w:tcPr/>
          <w:p>
            <w:pPr>
              <w:pStyle w:val="Compact"/>
            </w:pPr>
            <w:r>
              <w:t xml:space="preserve">Formal alignment 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framework feedback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Improve testing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Responsible AI checklist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Ensure policy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strategy guidance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Inform abstraction layer evolution</w:t>
            </w:r>
          </w:p>
        </w:tc>
      </w:tr>
    </w:tbl>
    <w:bookmarkEnd w:id="31"/>
    <w:bookmarkStart w:id="32" w:name="whats-already-addressed"/>
    <w:p>
      <w:pPr>
        <w:pStyle w:val="Heading3"/>
      </w:pPr>
      <w:r>
        <w:t xml:space="preserve">What’s Already Addressed</w:t>
      </w:r>
    </w:p>
    <w:p>
      <w:pPr>
        <w:pStyle w:val="Compact"/>
        <w:numPr>
          <w:ilvl w:val="0"/>
          <w:numId w:val="1002"/>
        </w:numPr>
      </w:pPr>
      <w:r>
        <w:t xml:space="preserve">✓ No autonomous decision-making</w:t>
      </w:r>
    </w:p>
    <w:p>
      <w:pPr>
        <w:pStyle w:val="Compact"/>
        <w:numPr>
          <w:ilvl w:val="0"/>
          <w:numId w:val="1002"/>
        </w:numPr>
      </w:pPr>
      <w:r>
        <w:t xml:space="preserve">✓ Human oversight at all steps</w:t>
      </w:r>
    </w:p>
    <w:p>
      <w:pPr>
        <w:pStyle w:val="Compact"/>
        <w:numPr>
          <w:ilvl w:val="0"/>
          <w:numId w:val="1002"/>
        </w:numPr>
      </w:pPr>
      <w:r>
        <w:t xml:space="preserve">✓ Complete audit trail</w:t>
      </w:r>
    </w:p>
    <w:p>
      <w:pPr>
        <w:pStyle w:val="Compact"/>
        <w:numPr>
          <w:ilvl w:val="0"/>
          <w:numId w:val="1002"/>
        </w:numPr>
      </w:pPr>
      <w:r>
        <w:t xml:space="preserve">✓ No PII or sensitive data processing</w:t>
      </w:r>
    </w:p>
    <w:p>
      <w:pPr>
        <w:pStyle w:val="Compact"/>
        <w:numPr>
          <w:ilvl w:val="0"/>
          <w:numId w:val="1002"/>
        </w:numPr>
      </w:pPr>
      <w:r>
        <w:t xml:space="preserve">✓ Microsoft Responsible AI foundation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/>
          <w:bCs/>
        </w:rPr>
        <w:t xml:space="preserve">MCMAP is a reference implementation for responsible enterprise AI.</w:t>
      </w:r>
    </w:p>
    <w:p>
      <w:pPr>
        <w:pStyle w:val="BodyText"/>
      </w:pPr>
      <w:r>
        <w:t xml:space="preserve">It demonstrates that you can deliver transformational AI capabilities while maintaining the governance, transparency, and human oversight that enterprise AI requires.</w:t>
      </w:r>
    </w:p>
    <w:p>
      <w:pPr>
        <w:pStyle w:val="BodyText"/>
      </w:pPr>
      <w:r>
        <w:t xml:space="preserve">This isn’t a</w:t>
      </w:r>
      <w:r>
        <w:t xml:space="preserve"> </w:t>
      </w:r>
      <w:r>
        <w:t xml:space="preserve">“move fast and break things”</w:t>
      </w:r>
      <w:r>
        <w:t xml:space="preserve"> </w:t>
      </w:r>
      <w:r>
        <w:t xml:space="preserve">AI project. It’s a</w:t>
      </w:r>
      <w:r>
        <w:t xml:space="preserve"> </w:t>
      </w:r>
      <w:r>
        <w:t xml:space="preserve">“move thoughtfully and build trust”</w:t>
      </w:r>
      <w:r>
        <w:t xml:space="preserve"> </w:t>
      </w:r>
      <w:r>
        <w:t xml:space="preserve">foundation for Mastercard’s AI future.</w:t>
      </w:r>
    </w:p>
    <w:p>
      <w:r>
        <w:pict>
          <v:rect style="width:0;height:1.5pt" o:hralign="center" o:hrstd="t" o:hr="t"/>
        </w:pict>
      </w:r>
    </w:p>
    <w:bookmarkEnd w:id="34"/>
    <w:bookmarkStart w:id="35" w:name="supporting-documentation"/>
    <w:p>
      <w:pPr>
        <w:pStyle w:val="Heading2"/>
      </w:pPr>
      <w:r>
        <w:t xml:space="preserve">SUPPORTING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03-MCMAP_Security_Compliance</w:t>
            </w:r>
          </w:p>
        </w:tc>
        <w:tc>
          <w:tcPr/>
          <w:p>
            <w:pPr>
              <w:pStyle w:val="Compact"/>
            </w:pPr>
            <w:r>
              <w:t xml:space="preserve">Full security and risk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06-MCMAP_AIBuilder_Integration</w:t>
            </w:r>
          </w:p>
        </w:tc>
        <w:tc>
          <w:tcPr/>
          <w:p>
            <w:pPr>
              <w:pStyle w:val="Compact"/>
            </w:pPr>
            <w:r>
              <w:t xml:space="preserve">AI Builder prompt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08-MCMAP_Quality_Assurance</w:t>
            </w:r>
          </w:p>
        </w:tc>
        <w:tc>
          <w:tcPr/>
          <w:p>
            <w:pPr>
              <w:pStyle w:val="Compact"/>
            </w:pPr>
            <w:r>
              <w:t xml:space="preserve">Testing framework details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 Kevin Bauer, Platform Owner (kevin.bauer@mastercard.com)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00-C-MCMAP_Chief_AI_Officer</dc:title>
  <dc:creator/>
  <cp:keywords/>
  <dcterms:created xsi:type="dcterms:W3CDTF">2026-01-31T18:57:57Z</dcterms:created>
  <dcterms:modified xsi:type="dcterms:W3CDTF">2026-01-31T18:57:57Z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