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RAG &amp; Learning Systems</w:t>
      </w:r>
    </w:p>
    <w:p>
      <w:pPr>
        <w:spacing w:after="200"/>
      </w:pPr>
      <w:r>
        <w:rPr>
          <w:i/>
          <w:iCs/>
          <w:color w:val="666666"/>
        </w:rPr>
        <w:t xml:space="preserve">Document 6 of 9 | AI/ML Architecture Reference for ML Engineers</w:t>
      </w:r>
    </w:p>
    <w:p>
      <w:pPr>
        <w:pStyle w:val="Heading2"/>
      </w:pPr>
      <w:r>
        <w:t xml:space="preserve">1. Agentic RAG System</w:t>
      </w:r>
    </w:p>
    <w:p>
      <w:pPr>
        <w:spacing w:after="200"/>
      </w:pPr>
      <w:r>
        <w:t xml:space="preserve">The platform implements an Agentic RAG (Retrieval-Augmented Generation) system where the agent decides WHEN and WHAT to retrieve using tool calls, rather than injecting all knowledge statically into prompts.</w:t>
      </w:r>
    </w:p>
    <w:p>
      <w:pPr>
        <w:pStyle w:val="Heading3"/>
      </w:pPr>
      <w:r>
        <w:t xml:space="preserve">1.1 Architecture</w:t>
      </w:r>
    </w:p>
    <w:p>
      <w:pPr>
        <w:spacing w:after="100"/>
      </w:pPr>
      <w:r>
        <w:t xml:space="preserve">Conversation Engine (MPA Agent with Claude/GPT-4)</w:t>
      </w:r>
    </w:p>
    <w:p>
      <w:pPr>
        <w:spacing w:after="100"/>
      </w:pPr>
      <w:r>
        <w:t xml:space="preserve">    ↓ tool_use calls to 3 RAG tools</w:t>
      </w:r>
    </w:p>
    <w:p>
      <w:pPr>
        <w:spacing w:after="100"/>
      </w:pPr>
      <w:r>
        <w:t xml:space="preserve">Tool Executor → RAG System</w:t>
      </w:r>
    </w:p>
    <w:p>
      <w:pPr>
        <w:spacing w:after="100"/>
      </w:pPr>
      <w:r>
        <w:t xml:space="preserve">    ↓ hybrid search</w:t>
      </w:r>
    </w:p>
    <w:p>
      <w:pPr>
        <w:spacing w:after="100"/>
      </w:pPr>
      <w:r>
        <w:t xml:space="preserve">Retrieval Engine (60% semantic + 40% keyword)</w:t>
      </w:r>
    </w:p>
    <w:p>
      <w:pPr>
        <w:spacing w:after="100"/>
      </w:pPr>
      <w:r>
        <w:t xml:space="preserve">    ↓ vector similarity</w:t>
      </w:r>
    </w:p>
    <w:p>
      <w:pPr>
        <w:spacing w:after="100"/>
      </w:pPr>
      <w:r>
        <w:t xml:space="preserve">Vector Store (TF-IDF embeddings, in-memory)</w:t>
      </w:r>
    </w:p>
    <w:p>
      <w:pPr>
        <w:spacing w:after="100"/>
      </w:pPr>
      <w:r>
        <w:t xml:space="preserve">    ↓ document chunks</w:t>
      </w:r>
    </w:p>
    <w:p>
      <w:pPr>
        <w:spacing w:after="100"/>
      </w:pPr>
      <w:r>
        <w:t xml:space="preserve">Knowledge Base (22+ documents, ~93K words)</w:t>
      </w:r>
    </w:p>
    <w:p>
      <w:pPr>
        <w:pStyle w:val="Heading3"/>
      </w:pPr>
      <w:r>
        <w:t xml:space="preserve">1.2 RAG Tool Definitions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pct" w:w="2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</w:tcPr>
          <w:p>
            <w:r>
              <w:rPr>
                <w:b/>
                <w:bCs/>
                <w:color w:val="FFFFFF"/>
              </w:rPr>
              <w:t xml:space="preserve">Tool</w:t>
            </w:r>
          </w:p>
        </w:tc>
        <w:tc>
          <w:tcPr>
            <w:tcW w:type="pct" w:w="3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</w:tcPr>
          <w:p>
            <w:r>
              <w:rPr>
                <w:b/>
                <w:bCs/>
                <w:color w:val="FFFFFF"/>
              </w:rPr>
              <w:t xml:space="preserve">Parameters</w:t>
            </w:r>
          </w:p>
        </w:tc>
        <w:tc>
          <w:tcPr>
            <w:tcW w:type="pct" w:w="4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</w:tcPr>
          <w:p>
            <w:r>
              <w:rPr>
                <w:b/>
                <w:bCs/>
                <w:color w:val="FFFFFF"/>
              </w:rPr>
              <w:t xml:space="preserve">Returns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search_knowledge_base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query (string), topic (enum: audience|budget|channel|measurement|benchmark|efficiency|general)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Top 5 results with pre-formatted citations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r>
              <w:t xml:space="preserve">get_benchmark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r>
              <w:t xml:space="preserve">vertical (string), metric (string)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r>
              <w:t xml:space="preserve">Value, qualifier (aggressive/conservative/typical), citation string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get_audience_sizing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audience_type (string), geography (string optional)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Size estimate, methodology, census citation</w:t>
            </w:r>
          </w:p>
        </w:tc>
      </w:tr>
    </w:tbl>
    <w:p>
      <w:pPr>
        <w:pStyle w:val="Heading3"/>
      </w:pPr>
      <w:r>
        <w:t xml:space="preserve">1.3 Embedding Strategy</w:t>
      </w:r>
    </w:p>
    <w:p>
      <w:pPr>
        <w:spacing w:after="100"/>
      </w:pPr>
      <w:r>
        <w:rPr>
          <w:b/>
          <w:bCs/>
        </w:rPr>
        <w:t xml:space="preserve">Method: </w:t>
      </w:r>
      <w:r>
        <w:t xml:space="preserve">TF-IDF from 'natural' library (no external API calls required)</w:t>
      </w:r>
    </w:p>
    <w:p>
      <w:pPr>
        <w:spacing w:after="100"/>
      </w:pPr>
      <w:r>
        <w:rPr>
          <w:b/>
          <w:bCs/>
        </w:rPr>
        <w:t xml:space="preserve">Process: </w:t>
      </w:r>
      <w:r>
        <w:t xml:space="preserve">Build vocabulary from all KB chunks → Generate sparse TF-IDF vectors → Normalize to dense → Cosine similarity for semantic matching</w:t>
      </w:r>
    </w:p>
    <w:p>
      <w:pPr>
        <w:spacing w:after="100"/>
      </w:pPr>
      <w:r>
        <w:rPr>
          <w:b/>
          <w:bCs/>
        </w:rPr>
        <w:t xml:space="preserve">Hybrid Search: </w:t>
      </w:r>
      <w:r>
        <w:t xml:space="preserve">60% semantic (TF-IDF cosine) + 40% keyword (BM25)</w:t>
      </w:r>
    </w:p>
    <w:p>
      <w:pPr>
        <w:pStyle w:val="Heading3"/>
      </w:pPr>
      <w:r>
        <w:t xml:space="preserve">1.4 Chunking Configuration</w:t>
      </w:r>
    </w:p>
    <w:p>
      <w:pPr>
        <w:spacing w:after="100"/>
      </w:pPr>
      <w:r>
        <w:t xml:space="preserve">Target chunk size: 400 tokens | Max: 600 tokens | Min: 100 tokens | Overlap: 50 tokens</w:t>
      </w:r>
    </w:p>
    <w:p>
      <w:pPr>
        <w:spacing w:after="100"/>
      </w:pPr>
      <w:r>
        <w:rPr>
          <w:b/>
          <w:bCs/>
        </w:rPr>
        <w:t xml:space="preserve">Section Boundary Aware: </w:t>
      </w:r>
      <w:r>
        <w:t xml:space="preserve">Yes - respects ALL CAPS headers in KB documents</w:t>
      </w:r>
    </w:p>
    <w:p>
      <w:r>
        <w:br w:type="page"/>
      </w:r>
    </w:p>
    <w:p>
      <w:pPr>
        <w:pStyle w:val="Heading2"/>
      </w:pPr>
      <w:r>
        <w:t xml:space="preserve">2. Continuous Learning System</w:t>
      </w:r>
    </w:p>
    <w:p>
      <w:pPr>
        <w:spacing w:after="200"/>
      </w:pPr>
      <w:r>
        <w:t xml:space="preserve">The platform implements a four-layer learning system enabling self-improvement through real-time critique, pattern mining, KB enhancement, and user feedback. All storage-dependent features gracefully degrade when storage is unavailable.</w:t>
      </w:r>
    </w:p>
    <w:p>
      <w:pPr>
        <w:pStyle w:val="Heading3"/>
      </w:pPr>
      <w:r>
        <w:t xml:space="preserve">2.1 Layer Architecture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pct" w:w="1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</w:tcPr>
          <w:p>
            <w:r>
              <w:rPr>
                <w:b/>
                <w:bCs/>
                <w:color w:val="FFFFFF"/>
              </w:rPr>
              <w:t xml:space="preserve">Layer</w:t>
            </w:r>
          </w:p>
        </w:tc>
        <w:tc>
          <w:tcPr>
            <w:tcW w:type="pct" w:w="2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</w:tcPr>
          <w:p>
            <w:r>
              <w:rPr>
                <w:b/>
                <w:bCs/>
                <w:color w:val="FFFFFF"/>
              </w:rPr>
              <w:t xml:space="preserve">Name</w:t>
            </w:r>
          </w:p>
        </w:tc>
        <w:tc>
          <w:tcPr>
            <w:tcW w:type="pct" w:w="1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</w:tcPr>
          <w:p>
            <w:r>
              <w:rPr>
                <w:b/>
                <w:bCs/>
                <w:color w:val="FFFFFF"/>
              </w:rPr>
              <w:t xml:space="preserve">Status</w:t>
            </w:r>
          </w:p>
        </w:tc>
        <w:tc>
          <w:tcPr>
            <w:tcW w:type="pct" w:w="5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</w:tcPr>
          <w:p>
            <w:r>
              <w:rPr>
                <w:b/>
                <w:bCs/>
                <w:color w:val="FFFFFF"/>
              </w:rPr>
              <w:t xml:space="preserve">Description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Layer C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Self-Critique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color w:val="27AE60"/>
              </w:rPr>
              <w:t xml:space="preserve">Always ON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Real-time quality check before response delivery using Claude Haiku (~200ms). No storage required.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r>
              <w:t xml:space="preserve">Layer B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r>
              <w:t xml:space="preserve">Success Patterns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r>
              <w:rPr>
                <w:color w:val="F39C12"/>
              </w:rPr>
              <w:t xml:space="preserve">Optional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r>
              <w:t xml:space="preserve">Few-shot examples from high-scoring past responses (&gt;95%). Needs JSON or Dataverse storage.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Layer A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KB Enhancement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color w:val="3498DB"/>
              </w:rPr>
              <w:t xml:space="preserve">Offline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Analyzes eval results for gaps, generates KB content suggestions via Claude. Outputs to files for human review.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r>
              <w:t xml:space="preserve">Layer 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r>
              <w:t xml:space="preserve">User Feedback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r>
              <w:rPr>
                <w:color w:val="F39C12"/>
              </w:rPr>
              <w:t xml:space="preserve">Optional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r>
              <w:t xml:space="preserve">Captures thumbs up/down, response edits. Stores in Dataverse. Feeds into KB enhancement pipeline.</w:t>
            </w:r>
          </w:p>
        </w:tc>
      </w:tr>
    </w:tbl>
    <w:p>
      <w:pPr>
        <w:pStyle w:val="Heading3"/>
      </w:pPr>
      <w:r>
        <w:t xml:space="preserve">2.2 Self-Critique Criteria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2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</w:tcPr>
          <w:p>
            <w:r>
              <w:rPr>
                <w:b/>
                <w:bCs/>
                <w:color w:val="FFFFFF"/>
              </w:rPr>
              <w:t xml:space="preserve">Criterion</w:t>
            </w:r>
          </w:p>
        </w:tc>
        <w:tc>
          <w:tcPr>
            <w:tcW w:type="pct" w:w="7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</w:tcPr>
          <w:p>
            <w:r>
              <w:rPr>
                <w:b/>
                <w:bCs/>
                <w:color w:val="FFFFFF"/>
              </w:rPr>
              <w:t xml:space="preserve">Rule &amp; Fix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source-citation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All benchmark claims must cite source. Fix: Add 'Based on Knowledge Base, ' before claims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r>
              <w:t xml:space="preserve">acronym-definition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r>
              <w:t xml:space="preserve">First use of acronym must include definition. Fix: Add parenthetical like 'cost per acquisition (CAC)'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response-length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Under 75 words when possible. Fix: Remove redundant phrases, cut examples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r>
              <w:t xml:space="preserve">single-question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r>
              <w:t xml:space="preserve">Ask only ONE question per response. Fix: Keep only most important question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calculation-presence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Show math when citing numbers. Fix: Add calculation like '$50K ÷ $25 = 2,000 customers'</w:t>
            </w:r>
          </w:p>
        </w:tc>
      </w:tr>
    </w:tbl>
    <w:p>
      <w:r>
        <w:br w:type="page"/>
      </w:r>
    </w:p>
    <w:p>
      <w:pPr>
        <w:pStyle w:val="Heading2"/>
      </w:pPr>
      <w:r>
        <w:t xml:space="preserve">3. Data Provenance Framework</w:t>
      </w:r>
    </w:p>
    <w:p>
      <w:pPr>
        <w:spacing w:after="200"/>
      </w:pPr>
      <w:r>
        <w:t xml:space="preserve">The platform tracks the source of all data points used in responses to ensure transparency and auditability.</w:t>
      </w:r>
    </w:p>
    <w:p>
      <w:pPr>
        <w:pStyle w:val="Heading3"/>
      </w:pPr>
      <w:r>
        <w:t xml:space="preserve">3.1 Source Categories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pct" w:w="2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</w:tcPr>
          <w:p>
            <w:r>
              <w:rPr>
                <w:b/>
                <w:bCs/>
                <w:color w:val="FFFFFF"/>
              </w:rPr>
              <w:t xml:space="preserve">Source</w:t>
            </w:r>
          </w:p>
        </w:tc>
        <w:tc>
          <w:tcPr>
            <w:tcW w:type="pct" w:w="1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</w:tcPr>
          <w:p>
            <w:r>
              <w:rPr>
                <w:b/>
                <w:bCs/>
                <w:color w:val="FFFFFF"/>
              </w:rPr>
              <w:t xml:space="preserve">Priority</w:t>
            </w:r>
          </w:p>
        </w:tc>
        <w:tc>
          <w:tcPr>
            <w:tcW w:type="pct" w:w="6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</w:tcPr>
          <w:p>
            <w:r>
              <w:rPr>
                <w:b/>
                <w:bCs/>
                <w:color w:val="FFFFFF"/>
              </w:rPr>
              <w:t xml:space="preserve">Description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Direct API Data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1 (Highest)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Real-time data from external APIs (when available)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r>
              <w:t xml:space="preserve">Web Research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r>
              <w:t xml:space="preserve">2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r>
              <w:t xml:space="preserve">Credible sources via Bing Search (must cite URL)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User Provided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3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Data explicitly given by user in conversation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r>
              <w:t xml:space="preserve">KB Benchmarks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r>
              <w:t xml:space="preserve">4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r>
              <w:t xml:space="preserve">Benchmark data from Dataverse tables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Agent Estimate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5 (Lowest)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Agent's reasoned estimate (must be clearly labeled)</w:t>
            </w:r>
          </w:p>
        </w:tc>
      </w:tr>
    </w:tbl>
    <w:p>
      <w:pPr>
        <w:pStyle w:val="Heading2"/>
      </w:pPr>
      <w:r>
        <w:t xml:space="preserve">4. Expected Outcomes</w:t>
      </w:r>
    </w:p>
    <w:p>
      <w:pPr>
        <w:spacing w:after="200"/>
      </w:pPr>
      <w:r>
        <w:t xml:space="preserve">The RAG and Learning systems are designed to improve the agent's composite evaluation score: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pct" w:w="3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</w:tcPr>
          <w:p>
            <w:r>
              <w:rPr>
                <w:b/>
                <w:bCs/>
                <w:color w:val="FFFFFF"/>
              </w:rPr>
              <w:t xml:space="preserve">Scorer</w:t>
            </w:r>
          </w:p>
        </w:tc>
        <w:tc>
          <w:tcPr>
            <w:tcW w:type="pct" w:w="2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</w:tcPr>
          <w:p>
            <w:r>
              <w:rPr>
                <w:b/>
                <w:bCs/>
                <w:color w:val="FFFFFF"/>
              </w:rPr>
              <w:t xml:space="preserve">Before</w:t>
            </w:r>
          </w:p>
        </w:tc>
        <w:tc>
          <w:tcPr>
            <w:tcW w:type="pct" w:w="2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</w:tcPr>
          <w:p>
            <w:r>
              <w:rPr>
                <w:b/>
                <w:bCs/>
                <w:color w:val="FFFFFF"/>
              </w:rPr>
              <w:t xml:space="preserve">After RAG</w:t>
            </w:r>
          </w:p>
        </w:tc>
        <w:tc>
          <w:tcPr>
            <w:tcW w:type="pct" w:w="2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</w:tcPr>
          <w:p>
            <w:r>
              <w:rPr>
                <w:b/>
                <w:bCs/>
                <w:color w:val="FFFFFF"/>
              </w:rPr>
              <w:t xml:space="preserve">After Learning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source-citation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52-62%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92%+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96%+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r>
              <w:t xml:space="preserve">acronym-definition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r>
              <w:t xml:space="preserve">0-23%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r>
              <w:t xml:space="preserve">0-23%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r>
              <w:t xml:space="preserve">85%+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audience-sizing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25-40%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92%+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94%+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r>
              <w:rPr>
                <w:b/>
                <w:bCs/>
              </w:rPr>
              <w:t xml:space="preserve">COMPOSITE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r>
              <w:rPr>
                <w:b/>
                <w:bCs/>
              </w:rPr>
              <w:t xml:space="preserve">86.8%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r>
              <w:rPr>
                <w:b/>
                <w:bCs/>
              </w:rPr>
              <w:t xml:space="preserve">92-94%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r>
              <w:rPr>
                <w:b/>
                <w:bCs/>
                <w:color w:val="27AE60"/>
              </w:rPr>
              <w:t xml:space="preserve">96%+</w:t>
            </w:r>
          </w:p>
        </w:tc>
      </w:tr>
    </w:tbl>
    <w:p>
      <w:pPr>
        <w:pStyle w:val="Heading2"/>
      </w:pPr>
      <w:r>
        <w:t xml:space="preserve">5. Production Deployment</w:t>
      </w:r>
    </w:p>
    <w:p>
      <w:pPr>
        <w:spacing w:after="100"/>
      </w:pPr>
      <w:r>
        <w:rPr>
          <w:b/>
          <w:bCs/>
        </w:rPr>
        <w:t xml:space="preserve">Copilot Studio Mapping:</w:t>
      </w:r>
    </w:p>
    <w:p>
      <w:pPr>
        <w:spacing w:after="100"/>
      </w:pPr>
      <w:r>
        <w:t xml:space="preserve">• Self-Critique → Topic with AI Builder action</w:t>
      </w:r>
    </w:p>
    <w:p>
      <w:pPr>
        <w:spacing w:after="100"/>
      </w:pPr>
      <w:r>
        <w:t xml:space="preserve">• Success Patterns → Dataverse table + Power Automate flow</w:t>
      </w:r>
    </w:p>
    <w:p>
      <w:pPr>
        <w:spacing w:after="100"/>
      </w:pPr>
      <w:r>
        <w:t xml:space="preserve">• User Feedback → Dataverse table + Adaptive Card response</w:t>
      </w:r>
    </w:p>
    <w:p>
      <w:pPr>
        <w:spacing w:after="100"/>
      </w:pPr>
      <w:r>
        <w:t xml:space="preserve">• KB Enhancement → Scheduled Power Automate flow (offline)</w:t>
      </w:r>
    </w:p>
    <w:sectPr>
      <w:headerReference w:type="default" r:id="rId6"/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666666"/>
        <w:sz w:val="18"/>
        <w:szCs w:val="18"/>
      </w:rPr>
      <w:t xml:space="preserve">CONFIDENTIAL | </w:t>
    </w:r>
    <w:r>
      <w:rPr>
        <w:color w:val="666666"/>
        <w:sz w:val="18"/>
        <w:szCs w:val="18"/>
      </w:rPr>
      <w:t xml:space="preserve">Page </w:t>
    </w:r>
    <w:r>
      <w:rPr>
        <w:color w:val="666666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color w:val="666666"/>
        <w:sz w:val="18"/>
        <w:szCs w:val="18"/>
      </w:rPr>
      <w:t xml:space="preserve"> of </w:t>
    </w:r>
    <w:r>
      <w:rPr>
        <w:color w:val="666666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i/>
        <w:iCs/>
        <w:color w:val="666666"/>
        <w:sz w:val="18"/>
        <w:szCs w:val="18"/>
      </w:rPr>
      <w:t xml:space="preserve">Mastercard Agent Platform | Learning Systems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00" w:after="200"/>
    </w:pPr>
    <w:rPr>
      <w:rFonts w:ascii="Arial" w:cs="Arial" w:eastAsia="Arial" w:hAnsi="Arial"/>
      <w:b/>
      <w:bCs/>
      <w:color w:val="1B4F72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300" w:after="150"/>
    </w:pPr>
    <w:rPr>
      <w:rFonts w:ascii="Arial" w:cs="Arial" w:eastAsia="Arial" w:hAnsi="Arial"/>
      <w:b/>
      <w:bCs/>
      <w:color w:val="2471A3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00" w:after="100"/>
    </w:pPr>
    <w:rPr>
      <w:rFonts w:ascii="Arial" w:cs="Arial" w:eastAsia="Arial" w:hAnsi="Arial"/>
      <w:b/>
      <w:bCs/>
      <w:color w:val="2E86AB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2026-01-17T05:27:14.098Z</dcterms:created>
  <dcterms:modified xsi:type="dcterms:W3CDTF">2026-01-17T05:27:14.098Z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