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sulting-marketing-agent-platform"/>
    <w:p>
      <w:pPr>
        <w:pStyle w:val="Heading1"/>
      </w:pPr>
      <w:r>
        <w:rPr>
          <w:color w:val="FF5F00"/>
        </w:rPr>
        <w:t xml:space="preserve">CONSULTING &amp; MARKETING AGENT PLATFORM</w:t>
      </w:r>
    </w:p>
    <w:bookmarkEnd w:id="18"/>
    <w:bookmarkStart w:id="40" w:name="X63db818265857f0738658ad73bd5f2ddea63f9c"/>
    <w:p>
      <w:pPr>
        <w:pStyle w:val="Heading1"/>
      </w:pPr>
      <w:r>
        <w:rPr>
          <w:color w:val="FF5F00"/>
        </w:rPr>
        <w:t xml:space="preserve">EXECUTIVE SUMMARY &amp; STRATEGIC PLATFORM VISION</w:t>
      </w:r>
    </w:p>
    <w:p>
      <w:pPr>
        <w:pStyle w:val="FirstParagraph"/>
      </w:pPr>
      <w:r>
        <w:rPr>
          <w:i/>
          <w:iCs/>
        </w:rPr>
        <w:t xml:space="preserve">The Complete Story: From Use Cases to Platform Vision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</w:pPr>
      <w:r>
        <w:rPr>
          <w:color w:val="FF5F00"/>
        </w:rP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1: What Exists Today - Two Production-Ready Use Cases</w:t>
      </w:r>
    </w:p>
    <w:p>
      <w:pPr>
        <w:pStyle w:val="Compact"/>
        <w:numPr>
          <w:ilvl w:val="0"/>
          <w:numId w:val="1001"/>
        </w:numPr>
      </w:pPr>
      <w:r>
        <w:t xml:space="preserve">1.1 Executive Overview</w:t>
      </w:r>
    </w:p>
    <w:p>
      <w:pPr>
        <w:pStyle w:val="Compact"/>
        <w:numPr>
          <w:ilvl w:val="0"/>
          <w:numId w:val="1001"/>
        </w:numPr>
      </w:pPr>
      <w:r>
        <w:t xml:space="preserve">1.2 USE CASE 1: Media Planning Agent (MPA)</w:t>
      </w:r>
    </w:p>
    <w:p>
      <w:pPr>
        <w:pStyle w:val="Compact"/>
        <w:numPr>
          <w:ilvl w:val="0"/>
          <w:numId w:val="1001"/>
        </w:numPr>
      </w:pPr>
      <w:r>
        <w:t xml:space="preserve">1.3 USE CASE 2: Consulting Agent (CA)</w:t>
      </w:r>
    </w:p>
    <w:p>
      <w:pPr>
        <w:pStyle w:val="Compact"/>
        <w:numPr>
          <w:ilvl w:val="0"/>
          <w:numId w:val="1001"/>
        </w:numPr>
      </w:pPr>
      <w:r>
        <w:t xml:space="preserve">1.4 Business Impact Summary</w:t>
      </w:r>
    </w:p>
    <w:p>
      <w:pPr>
        <w:pStyle w:val="FirstParagraph"/>
      </w:pPr>
      <w:r>
        <w:rPr>
          <w:b/>
          <w:bCs/>
        </w:rPr>
        <w:t xml:space="preserve">PART 2: The Critical Bridge - From Use Cases to Platform</w:t>
      </w:r>
    </w:p>
    <w:p>
      <w:pPr>
        <w:pStyle w:val="Compact"/>
        <w:numPr>
          <w:ilvl w:val="0"/>
          <w:numId w:val="1002"/>
        </w:numPr>
      </w:pPr>
      <w:r>
        <w:t xml:space="preserve">2.1 These Are Proofs of Concept, Not Endpoints</w:t>
      </w:r>
    </w:p>
    <w:p>
      <w:pPr>
        <w:pStyle w:val="Compact"/>
        <w:numPr>
          <w:ilvl w:val="0"/>
          <w:numId w:val="1002"/>
        </w:numPr>
      </w:pPr>
      <w:r>
        <w:t xml:space="preserve">2.2 The Real Product Is The Platform</w:t>
      </w:r>
    </w:p>
    <w:p>
      <w:pPr>
        <w:pStyle w:val="Compact"/>
        <w:numPr>
          <w:ilvl w:val="0"/>
          <w:numId w:val="1002"/>
        </w:numPr>
      </w:pPr>
      <w:r>
        <w:t xml:space="preserve">2.3 Why This Architecture Matters Strategically</w:t>
      </w:r>
    </w:p>
    <w:p>
      <w:pPr>
        <w:pStyle w:val="FirstParagraph"/>
      </w:pPr>
      <w:r>
        <w:rPr>
          <w:b/>
          <w:bCs/>
        </w:rPr>
        <w:t xml:space="preserve">PART 3: Strategic Platform Vision</w:t>
      </w:r>
    </w:p>
    <w:p>
      <w:pPr>
        <w:pStyle w:val="Compact"/>
        <w:numPr>
          <w:ilvl w:val="0"/>
          <w:numId w:val="1003"/>
        </w:numPr>
      </w:pPr>
      <w:r>
        <w:t xml:space="preserve">3.1 From Use Cases to Platform: Unlimited Extensibility</w:t>
      </w:r>
    </w:p>
    <w:p>
      <w:pPr>
        <w:pStyle w:val="Compact"/>
        <w:numPr>
          <w:ilvl w:val="0"/>
          <w:numId w:val="1003"/>
        </w:numPr>
      </w:pPr>
      <w:r>
        <w:t xml:space="preserve">3.2 Architecture Principles That Enable Scale</w:t>
      </w:r>
    </w:p>
    <w:p>
      <w:pPr>
        <w:pStyle w:val="Compact"/>
        <w:numPr>
          <w:ilvl w:val="0"/>
          <w:numId w:val="1003"/>
        </w:numPr>
      </w:pPr>
      <w:r>
        <w:t xml:space="preserve">3.3 The</w:t>
      </w:r>
      <w:r>
        <w:t xml:space="preserve"> </w:t>
      </w:r>
      <w:r>
        <w:t xml:space="preserve">‘Agent Factory’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03"/>
        </w:numPr>
      </w:pPr>
      <w:r>
        <w:t xml:space="preserve">3.4 Revenue Opportunities Beyond Media/Consulting</w:t>
      </w:r>
    </w:p>
    <w:p>
      <w:pPr>
        <w:pStyle w:val="Compact"/>
        <w:numPr>
          <w:ilvl w:val="0"/>
          <w:numId w:val="1003"/>
        </w:numPr>
      </w:pPr>
      <w:r>
        <w:t xml:space="preserve">3.5 Strategic Positioning &amp; Competitive Moats</w:t>
      </w:r>
    </w:p>
    <w:p>
      <w:pPr>
        <w:pStyle w:val="FirstParagraph"/>
      </w:pPr>
      <w:r>
        <w:rPr>
          <w:b/>
          <w:bCs/>
        </w:rPr>
        <w:t xml:space="preserve">PART 4: Technical Foundation &amp; Production Readiness</w:t>
      </w:r>
    </w:p>
    <w:p>
      <w:pPr>
        <w:pStyle w:val="Compact"/>
        <w:numPr>
          <w:ilvl w:val="0"/>
          <w:numId w:val="1004"/>
        </w:numPr>
      </w:pPr>
      <w:r>
        <w:t xml:space="preserve">4.1 Platform Stack</w:t>
      </w:r>
    </w:p>
    <w:p>
      <w:pPr>
        <w:pStyle w:val="Compact"/>
        <w:numPr>
          <w:ilvl w:val="0"/>
          <w:numId w:val="1004"/>
        </w:numPr>
      </w:pPr>
      <w:r>
        <w:t xml:space="preserve">4.2 Agent System</w:t>
      </w:r>
    </w:p>
    <w:p>
      <w:pPr>
        <w:pStyle w:val="Compact"/>
        <w:numPr>
          <w:ilvl w:val="0"/>
          <w:numId w:val="1004"/>
        </w:numPr>
      </w:pPr>
      <w:r>
        <w:t xml:space="preserve">4.3 Security &amp; Compliance Posture</w:t>
      </w:r>
    </w:p>
    <w:p>
      <w:pPr>
        <w:pStyle w:val="Compact"/>
        <w:numPr>
          <w:ilvl w:val="0"/>
          <w:numId w:val="1004"/>
        </w:numPr>
      </w:pPr>
      <w:r>
        <w:t xml:space="preserve">4.4 Quality Assurance &amp; Performance</w:t>
      </w:r>
    </w:p>
    <w:p>
      <w:r>
        <w:br w:type="page"/>
      </w:r>
    </w:p>
    <w:bookmarkEnd w:id="19"/>
    <w:bookmarkStart w:id="24" w:name="X1b30928a0d03531ec3498e1e52002fedb823083"/>
    <w:p>
      <w:pPr>
        <w:pStyle w:val="Heading2"/>
      </w:pPr>
      <w:r>
        <w:rPr>
          <w:color w:val="FF5F00"/>
        </w:rPr>
        <w:t xml:space="preserve">PART 1: What Exists Today - Two Production-Ready Use Cases</w:t>
      </w:r>
    </w:p>
    <w:bookmarkStart w:id="20" w:name="executive-overview"/>
    <w:p>
      <w:pPr>
        <w:pStyle w:val="Heading3"/>
      </w:pPr>
      <w:r>
        <w:rPr>
          <w:color w:val="FF5F00"/>
        </w:rPr>
        <w:t xml:space="preserve">1.1 Executive Overview</w:t>
      </w:r>
    </w:p>
    <w:p>
      <w:pPr>
        <w:pStyle w:val="FirstParagraph"/>
      </w:pPr>
      <w:r>
        <w:t xml:space="preserve">MCMAP delivers two production-ready capabilities today—Media Planning and Strategic Consulting Support. These are not prototypes. They are fully functional systems with comprehensive knowledge bases, validated workflows, and enterprise-grade security.</w:t>
      </w:r>
    </w:p>
    <w:p>
      <w:pPr>
        <w:pStyle w:val="BodyText"/>
      </w:pPr>
      <w:r>
        <w:rPr>
          <w:b/>
          <w:bCs/>
        </w:rPr>
        <w:t xml:space="preserve">What exists today:</w:t>
      </w:r>
    </w:p>
    <w:p>
      <w:pPr>
        <w:pStyle w:val="Compact"/>
        <w:numPr>
          <w:ilvl w:val="0"/>
          <w:numId w:val="1005"/>
        </w:numPr>
      </w:pPr>
      <w:r>
        <w:t xml:space="preserve">11 specialized AI agents | 36 analytical capabilities | 15 industry verticals</w:t>
      </w:r>
    </w:p>
    <w:p>
      <w:pPr>
        <w:pStyle w:val="Compact"/>
        <w:numPr>
          <w:ilvl w:val="0"/>
          <w:numId w:val="1005"/>
        </w:numPr>
      </w:pPr>
      <w:r>
        <w:t xml:space="preserve">37+ knowledge base documents</w:t>
      </w:r>
    </w:p>
    <w:p>
      <w:pPr>
        <w:pStyle w:val="Compact"/>
        <w:numPr>
          <w:ilvl w:val="0"/>
          <w:numId w:val="1005"/>
        </w:numPr>
      </w:pPr>
      <w:r>
        <w:t xml:space="preserve">Full DLP compliance | Production-ready</w:t>
      </w:r>
    </w:p>
    <w:p>
      <w:pPr>
        <w:pStyle w:val="FirstParagraph"/>
      </w:pPr>
      <w:r>
        <w:rPr>
          <w:b/>
          <w:bCs/>
        </w:rPr>
        <w:t xml:space="preserve">What it cost to build:</w:t>
      </w:r>
    </w:p>
    <w:p>
      <w:pPr>
        <w:pStyle w:val="Compact"/>
        <w:numPr>
          <w:ilvl w:val="0"/>
          <w:numId w:val="1006"/>
        </w:numPr>
      </w:pPr>
      <w:r>
        <w:t xml:space="preserve">One person. ~100 hours. Under $3,000.</w:t>
      </w:r>
    </w:p>
    <w:p>
      <w:r>
        <w:br w:type="page"/>
      </w:r>
    </w:p>
    <w:bookmarkEnd w:id="20"/>
    <w:bookmarkStart w:id="21" w:name="use-case-1-media-planning-agent-mpa"/>
    <w:p>
      <w:pPr>
        <w:pStyle w:val="Heading3"/>
      </w:pPr>
      <w:r>
        <w:rPr>
          <w:color w:val="FF5F00"/>
        </w:rPr>
        <w:t xml:space="preserve">1.2 USE CASE 1: Media Planning Agent (MPA)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BodyText"/>
      </w:pPr>
      <w:r>
        <w:t xml:space="preserve">The Media Planning Agent transforms media brief development from blank-page guesswork into an intelligent, step-by-step workflow that continuously optimizes toward campaign success.</w:t>
      </w:r>
    </w:p>
    <w:p>
      <w:pPr>
        <w:pStyle w:val="BodyText"/>
      </w:pPr>
      <w:r>
        <w:rPr>
          <w:b/>
          <w:bCs/>
        </w:rPr>
        <w:t xml:space="preserve">The 10-Step Intelligent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Business Context</w:t>
            </w:r>
          </w:p>
        </w:tc>
        <w:tc>
          <w:tcPr/>
          <w:p>
            <w:pPr>
              <w:pStyle w:val="Compact"/>
            </w:pPr>
            <w:r>
              <w:t xml:space="preserve">Strategic alignment, brand positioning, competitive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Campaign Objectives</w:t>
            </w:r>
          </w:p>
        </w:tc>
        <w:tc>
          <w:tcPr/>
          <w:p>
            <w:pPr>
              <w:pStyle w:val="Compact"/>
            </w:pPr>
            <w:r>
              <w:t xml:space="preserve">Goal hierarchy, KPI framework, success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Target Audience</w:t>
            </w:r>
          </w:p>
        </w:tc>
        <w:tc>
          <w:tcPr/>
          <w:p>
            <w:pPr>
              <w:pStyle w:val="Compact"/>
            </w:pPr>
            <w:r>
              <w:t xml:space="preserve">Segmentation, persona development, behavioral insights, LTV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Budget &amp; Constraints</w:t>
            </w:r>
          </w:p>
        </w:tc>
        <w:tc>
          <w:tcPr/>
          <w:p>
            <w:pPr>
              <w:pStyle w:val="Compact"/>
            </w:pPr>
            <w:r>
              <w:t xml:space="preserve">Allocation optimization, scenario modeling, ROI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Channel Mix</w:t>
            </w:r>
          </w:p>
        </w:tc>
        <w:tc>
          <w:tcPr/>
          <w:p>
            <w:pPr>
              <w:pStyle w:val="Compact"/>
            </w:pPr>
            <w:r>
              <w:t xml:space="preserve">Cross-channel optimization, reach/frequency planning, media synergy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Timing &amp; Flight</w:t>
            </w:r>
          </w:p>
        </w:tc>
        <w:tc>
          <w:tcPr/>
          <w:p>
            <w:pPr>
              <w:pStyle w:val="Compact"/>
            </w:pPr>
            <w:r>
              <w:t xml:space="preserve">Seasonality analysis, competitive pressure windows, optimal flighting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Creative Strategy</w:t>
            </w:r>
          </w:p>
        </w:tc>
        <w:tc>
          <w:tcPr/>
          <w:p>
            <w:pPr>
              <w:pStyle w:val="Compact"/>
            </w:pPr>
            <w:r>
              <w:t xml:space="preserve">Messaging framework, format recommendations, platform-specific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Measurement Framework</w:t>
            </w:r>
          </w:p>
        </w:tc>
        <w:tc>
          <w:tcPr/>
          <w:p>
            <w:pPr>
              <w:pStyle w:val="Compact"/>
            </w:pPr>
            <w:r>
              <w:t xml:space="preserve">Attribution modeling, incrementality testing, measurement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Supply Path Optimization</w:t>
            </w:r>
          </w:p>
        </w:tc>
        <w:tc>
          <w:tcPr/>
          <w:p>
            <w:pPr>
              <w:pStyle w:val="Compact"/>
            </w:pPr>
            <w:r>
              <w:t xml:space="preserve">Programmatic efficiency, fee transparency, inventory quality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Plan Validation</w:t>
            </w:r>
          </w:p>
        </w:tc>
        <w:tc>
          <w:tcPr/>
          <w:p>
            <w:pPr>
              <w:pStyle w:val="Compact"/>
            </w:pPr>
            <w:r>
              <w:t xml:space="preserve">Holistic coherence check, risk identification, optimization recommendations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Proactive Intelligence</w:t>
      </w:r>
    </w:p>
    <w:p>
      <w:pPr>
        <w:pStyle w:val="Compact"/>
        <w:numPr>
          <w:ilvl w:val="0"/>
          <w:numId w:val="1007"/>
        </w:numPr>
      </w:pPr>
      <w:r>
        <w:t xml:space="preserve">Self-Referential Learning: Remembers session context. Auto-recalculates when inputs change.</w:t>
      </w:r>
    </w:p>
    <w:p>
      <w:pPr>
        <w:pStyle w:val="Compact"/>
        <w:numPr>
          <w:ilvl w:val="0"/>
          <w:numId w:val="1007"/>
        </w:numPr>
      </w:pPr>
      <w:r>
        <w:t xml:space="preserve">RAG: Pulls from 37+ KB documents. Cites sources. No hallucination.</w:t>
      </w:r>
    </w:p>
    <w:p>
      <w:pPr>
        <w:pStyle w:val="Compact"/>
        <w:numPr>
          <w:ilvl w:val="0"/>
          <w:numId w:val="1007"/>
        </w:numPr>
      </w:pPr>
      <w:r>
        <w:t xml:space="preserve">Predictive Forecasting: Budget scenarios, ROAS curves, reach/frequency predictions.</w:t>
      </w:r>
    </w:p>
    <w:p>
      <w:pPr>
        <w:pStyle w:val="Compact"/>
        <w:numPr>
          <w:ilvl w:val="0"/>
          <w:numId w:val="1007"/>
        </w:numPr>
      </w:pPr>
      <w:r>
        <w:t xml:space="preserve">Continuous Recalculation: Every step validates against others. Plan stays coherent.</w:t>
      </w:r>
    </w:p>
    <w:p>
      <w:pPr>
        <w:pStyle w:val="Compact"/>
        <w:numPr>
          <w:ilvl w:val="0"/>
          <w:numId w:val="1007"/>
        </w:numPr>
      </w:pPr>
      <w:r>
        <w:t xml:space="preserve">Web Search (DLP-permitted): Real-time competitive intelligence, platform features, case studies.</w:t>
      </w:r>
    </w:p>
    <w:p>
      <w:pPr>
        <w:pStyle w:val="Compact"/>
        <w:numPr>
          <w:ilvl w:val="0"/>
          <w:numId w:val="1007"/>
        </w:numPr>
      </w:pPr>
      <w:r>
        <w:t xml:space="preserve">API Integration (DLP-permitted): CRM, audience platforms, measurement vendors.</w:t>
      </w:r>
    </w:p>
    <w:p>
      <w:pPr>
        <w:pStyle w:val="Compact"/>
        <w:numPr>
          <w:ilvl w:val="0"/>
          <w:numId w:val="1007"/>
        </w:numPr>
      </w:pPr>
      <w:r>
        <w:t xml:space="preserve">2-Way API Execution: Push plans to DSPs, campaign platforms, measurement systems.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World-class media plans that deliver better results than any other partner or platform.</w:t>
      </w:r>
    </w:p>
    <w:p>
      <w:r>
        <w:br w:type="page"/>
      </w:r>
    </w:p>
    <w:bookmarkEnd w:id="21"/>
    <w:bookmarkStart w:id="22" w:name="use-case-2-consulting-agent-ca"/>
    <w:p>
      <w:pPr>
        <w:pStyle w:val="Heading3"/>
      </w:pPr>
      <w:r>
        <w:rPr>
          <w:color w:val="FF5F00"/>
        </w:rPr>
        <w:t xml:space="preserve">1.3 USE CASE 2: Consulting Agent (CA)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BodyText"/>
      </w:pPr>
      <w:r>
        <w:t xml:space="preserve">The Consulting Agent accelerates research, discovery, and assessment phases by refining consultant thinking, guiding framework selection, and applying rigorous methodology.</w:t>
      </w:r>
    </w:p>
    <w:p>
      <w:pPr>
        <w:pStyle w:val="BodyText"/>
      </w:pPr>
      <w:r>
        <w:rPr>
          <w:b/>
          <w:bCs/>
        </w:rPr>
        <w:t xml:space="preserve">Four Core Capabilities</w:t>
      </w:r>
    </w:p>
    <w:p>
      <w:pPr>
        <w:pStyle w:val="BodyText"/>
      </w:pPr>
      <w:r>
        <w:rPr>
          <w:b/>
          <w:bCs/>
        </w:rPr>
        <w:t xml:space="preserve">1. Prompt Refinement &amp; Guidance</w:t>
      </w:r>
    </w:p>
    <w:p>
      <w:pPr>
        <w:pStyle w:val="Compact"/>
        <w:numPr>
          <w:ilvl w:val="0"/>
          <w:numId w:val="1008"/>
        </w:numPr>
      </w:pPr>
      <w:r>
        <w:t xml:space="preserve">Clarifies Intent: Targeted follow-ups to understand industry, geography, dimensions, output format.</w:t>
      </w:r>
    </w:p>
    <w:p>
      <w:pPr>
        <w:pStyle w:val="Compact"/>
        <w:numPr>
          <w:ilvl w:val="0"/>
          <w:numId w:val="1008"/>
        </w:numPr>
      </w:pPr>
      <w:r>
        <w:t xml:space="preserve">Suggests Improvements: Identifies gaps.</w:t>
      </w:r>
      <w:r>
        <w:t xml:space="preserve"> </w:t>
      </w:r>
      <w:r>
        <w:t xml:space="preserve">‘You’ve asked about market size but not time horizon—historical, current, or projections?’</w:t>
      </w:r>
    </w:p>
    <w:p>
      <w:pPr>
        <w:pStyle w:val="Compact"/>
        <w:numPr>
          <w:ilvl w:val="0"/>
          <w:numId w:val="1008"/>
        </w:numPr>
      </w:pPr>
      <w:r>
        <w:t xml:space="preserve">Recommends Context: Suggests additional dimensions that improve analysis.</w:t>
      </w:r>
    </w:p>
    <w:p>
      <w:pPr>
        <w:pStyle w:val="FirstParagraph"/>
      </w:pPr>
      <w:r>
        <w:rPr>
          <w:b/>
          <w:bCs/>
        </w:rPr>
        <w:t xml:space="preserve">2. Framework Selection Assistance (60+ Frameworks)</w:t>
      </w:r>
    </w:p>
    <w:p>
      <w:pPr>
        <w:pStyle w:val="Compact"/>
        <w:numPr>
          <w:ilvl w:val="0"/>
          <w:numId w:val="1009"/>
        </w:numPr>
      </w:pPr>
      <w:r>
        <w:t xml:space="preserve">Framework Discovery: Suggests relevant frameworks based on project type and objectives.</w:t>
      </w:r>
    </w:p>
    <w:p>
      <w:pPr>
        <w:pStyle w:val="Compact"/>
        <w:numPr>
          <w:ilvl w:val="0"/>
          <w:numId w:val="1009"/>
        </w:numPr>
      </w:pPr>
      <w:r>
        <w:t xml:space="preserve">Framework Comparison: Explains trade-offs.</w:t>
      </w:r>
      <w:r>
        <w:t xml:space="preserve"> </w:t>
      </w:r>
      <w:r>
        <w:t xml:space="preserve">‘SWOT gives breadth, PESTEL is comprehensive, Porter’s Five Forces fits your timeline.’</w:t>
      </w:r>
    </w:p>
    <w:p>
      <w:pPr>
        <w:pStyle w:val="Compact"/>
        <w:numPr>
          <w:ilvl w:val="0"/>
          <w:numId w:val="1009"/>
        </w:numPr>
      </w:pPr>
      <w:r>
        <w:t xml:space="preserve">Multi-Framework Application: Suggests combinations for complex projects.</w:t>
      </w:r>
    </w:p>
    <w:p>
      <w:pPr>
        <w:pStyle w:val="FirstParagraph"/>
      </w:pPr>
      <w:r>
        <w:rPr>
          <w:b/>
          <w:bCs/>
        </w:rPr>
        <w:t xml:space="preserve">3. Framework Application to Research</w:t>
      </w:r>
    </w:p>
    <w:p>
      <w:pPr>
        <w:pStyle w:val="Compact"/>
        <w:numPr>
          <w:ilvl w:val="0"/>
          <w:numId w:val="1010"/>
        </w:numPr>
      </w:pPr>
      <w:r>
        <w:t xml:space="preserve">Structured Data Collection: Breaks framework into specific research questions.</w:t>
      </w:r>
    </w:p>
    <w:p>
      <w:pPr>
        <w:pStyle w:val="Compact"/>
        <w:numPr>
          <w:ilvl w:val="0"/>
          <w:numId w:val="1010"/>
        </w:numPr>
      </w:pPr>
      <w:r>
        <w:t xml:space="preserve">Analysis Execution: Applies framework systematically. Identifies patterns, contradictions, implications.</w:t>
      </w:r>
    </w:p>
    <w:p>
      <w:pPr>
        <w:pStyle w:val="Compact"/>
        <w:numPr>
          <w:ilvl w:val="0"/>
          <w:numId w:val="1010"/>
        </w:numPr>
      </w:pPr>
      <w:r>
        <w:t xml:space="preserve">Evidence-Based Conclusions: Ties insights to data. Flags assumptions. Highlights validation needs.</w:t>
      </w:r>
    </w:p>
    <w:p>
      <w:pPr>
        <w:pStyle w:val="FirstParagraph"/>
      </w:pPr>
      <w:r>
        <w:rPr>
          <w:b/>
          <w:bCs/>
        </w:rPr>
        <w:t xml:space="preserve">4. Professional Consulting-Grade Outputs</w:t>
      </w:r>
    </w:p>
    <w:p>
      <w:pPr>
        <w:pStyle w:val="Compact"/>
        <w:numPr>
          <w:ilvl w:val="0"/>
          <w:numId w:val="1011"/>
        </w:numPr>
      </w:pPr>
      <w:r>
        <w:t xml:space="preserve">Executive Summaries: Concise, actionable, clear recommendations tied to strategic implications.</w:t>
      </w:r>
    </w:p>
    <w:p>
      <w:pPr>
        <w:pStyle w:val="Compact"/>
        <w:numPr>
          <w:ilvl w:val="0"/>
          <w:numId w:val="1011"/>
        </w:numPr>
      </w:pPr>
      <w:r>
        <w:t xml:space="preserve">Detailed Analysis: Structured findings with evidence, comparative analysis, quantified impacts.</w:t>
      </w:r>
    </w:p>
    <w:p>
      <w:pPr>
        <w:pStyle w:val="Compact"/>
        <w:numPr>
          <w:ilvl w:val="0"/>
          <w:numId w:val="1011"/>
        </w:numPr>
      </w:pPr>
      <w:r>
        <w:t xml:space="preserve">Visual Frameworks: Formatted matrices, 2x2s, force diagrams ready for presentations.</w:t>
      </w:r>
    </w:p>
    <w:p>
      <w:pPr>
        <w:pStyle w:val="Compact"/>
        <w:numPr>
          <w:ilvl w:val="0"/>
          <w:numId w:val="1011"/>
        </w:numPr>
      </w:pPr>
      <w:r>
        <w:t xml:space="preserve">Implementation Roadmaps: Phased rollout plans with milestones, owners, success criteria.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Higher-quality research, discovery, and assessments that elevate every consulting deliverable.</w:t>
      </w:r>
    </w:p>
    <w:p>
      <w:r>
        <w:br w:type="page"/>
      </w:r>
    </w:p>
    <w:bookmarkEnd w:id="22"/>
    <w:bookmarkStart w:id="23" w:name="business-impact-summary"/>
    <w:p>
      <w:pPr>
        <w:pStyle w:val="Heading3"/>
      </w:pPr>
      <w:r>
        <w:rPr>
          <w:color w:val="FF5F00"/>
        </w:rPr>
        <w:t xml:space="preserve">1.4 Business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3326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Area</w:t>
            </w:r>
          </w:p>
        </w:tc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Plan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2-4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Quality</w:t>
            </w:r>
          </w:p>
        </w:tc>
        <w:tc>
          <w:tcPr/>
          <w:p>
            <w:pPr>
              <w:pStyle w:val="Compact"/>
            </w:pPr>
            <w:r>
              <w:t xml:space="preserve">Varies by planner experience</w:t>
            </w:r>
          </w:p>
        </w:tc>
        <w:tc>
          <w:tcPr/>
          <w:p>
            <w:pPr>
              <w:pStyle w:val="Compact"/>
            </w:pPr>
            <w:r>
              <w:t xml:space="preserve">Consistently world-class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Depth</w:t>
            </w:r>
          </w:p>
        </w:tc>
        <w:tc>
          <w:tcPr/>
          <w:p>
            <w:pPr>
              <w:pStyle w:val="Compact"/>
            </w:pPr>
            <w:r>
              <w:t xml:space="preserve">Limited by time/budget</w:t>
            </w:r>
          </w:p>
        </w:tc>
        <w:tc>
          <w:tcPr/>
          <w:p>
            <w:pPr>
              <w:pStyle w:val="Compact"/>
            </w:pPr>
            <w:r>
              <w:t xml:space="preserve">Comprehensive,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Application</w:t>
            </w:r>
          </w:p>
        </w:tc>
        <w:tc>
          <w:tcPr/>
          <w:p>
            <w:pPr>
              <w:pStyle w:val="Compact"/>
            </w:pPr>
            <w:r>
              <w:t xml:space="preserve">Manual, inconsistent</w:t>
            </w:r>
          </w:p>
        </w:tc>
        <w:tc>
          <w:tcPr/>
          <w:p>
            <w:pPr>
              <w:pStyle w:val="Compact"/>
            </w:pPr>
            <w:r>
              <w:t xml:space="preserve">Systematic, repeatable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Hours to format</w:t>
            </w:r>
          </w:p>
        </w:tc>
        <w:tc>
          <w:tcPr/>
          <w:p>
            <w:pPr>
              <w:pStyle w:val="Compact"/>
            </w:pPr>
            <w:r>
              <w:t xml:space="preserve">Seconds to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Plan</w:t>
            </w:r>
          </w:p>
        </w:tc>
        <w:tc>
          <w:tcPr/>
          <w:p>
            <w:pPr>
              <w:pStyle w:val="Compact"/>
            </w:pPr>
            <w:r>
              <w:t xml:space="preserve">$5K-15K in labor</w:t>
            </w:r>
          </w:p>
        </w:tc>
        <w:tc>
          <w:tcPr/>
          <w:p>
            <w:pPr>
              <w:pStyle w:val="Compact"/>
            </w:pPr>
            <w:r>
              <w:t xml:space="preserve">&lt;$50 in compute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Explore MCMAP Interactively:</w:t>
      </w:r>
      <w:r>
        <w:t xml:space="preserve"> </w:t>
      </w:r>
      <w:r>
        <w:t xml:space="preserve">An accompanying Documentation Agent (DOCS) is available for anyone who wants to explore the platform architecture, agent capabilities, and technical details in a more dynamic, conversational format. Ask it anything about MCMAP and it will guide you through the relevant documentation with full source citations.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8" w:name="X73845a8732dc7340f47afca26058543a84d11c0"/>
    <w:p>
      <w:pPr>
        <w:pStyle w:val="Heading2"/>
      </w:pPr>
      <w:r>
        <w:rPr>
          <w:color w:val="FF5F00"/>
        </w:rPr>
        <w:t xml:space="preserve">PART 2: The Critical Bridge - From Use Cases to Platform</w:t>
      </w:r>
    </w:p>
    <w:bookmarkStart w:id="25" w:name="X7bd0344337acc61855e7a737f7339254bc14d8c"/>
    <w:p>
      <w:pPr>
        <w:pStyle w:val="Heading3"/>
      </w:pPr>
      <w:r>
        <w:rPr>
          <w:color w:val="FF5F00"/>
        </w:rPr>
        <w:t xml:space="preserve">2.1 These Are Proofs of Concept, Not Endpoints</w:t>
      </w:r>
    </w:p>
    <w:p>
      <w:pPr>
        <w:pStyle w:val="FirstParagraph"/>
      </w:pPr>
      <w:r>
        <w:t xml:space="preserve">Media Planning and Consulting Support demonstrate what’s possible when enterprise AI agents are purpose-built for specific domains. But they are not the product. They are proof points.</w:t>
      </w:r>
    </w:p>
    <w:p>
      <w:pPr>
        <w:pStyle w:val="BodyText"/>
      </w:pPr>
      <w:r>
        <w:rPr>
          <w:b/>
          <w:bCs/>
        </w:rPr>
        <w:t xml:space="preserve">The proof they provide:</w:t>
      </w:r>
    </w:p>
    <w:p>
      <w:pPr>
        <w:pStyle w:val="Compact"/>
        <w:numPr>
          <w:ilvl w:val="0"/>
          <w:numId w:val="1012"/>
        </w:numPr>
      </w:pPr>
      <w:r>
        <w:t xml:space="preserve">Enterprise AI agents can be built rapidly (weeks, not months)</w:t>
      </w:r>
    </w:p>
    <w:p>
      <w:pPr>
        <w:pStyle w:val="Compact"/>
        <w:numPr>
          <w:ilvl w:val="0"/>
          <w:numId w:val="1012"/>
        </w:numPr>
      </w:pPr>
      <w:r>
        <w:t xml:space="preserve">They can be deployed securely within Mastercard’s DLP-compliant environment</w:t>
      </w:r>
    </w:p>
    <w:p>
      <w:pPr>
        <w:pStyle w:val="Compact"/>
        <w:numPr>
          <w:ilvl w:val="0"/>
          <w:numId w:val="1012"/>
        </w:numPr>
      </w:pPr>
      <w:r>
        <w:t xml:space="preserve">They can deliver immediate, measurable business value</w:t>
      </w:r>
    </w:p>
    <w:p>
      <w:pPr>
        <w:pStyle w:val="Compact"/>
        <w:numPr>
          <w:ilvl w:val="0"/>
          <w:numId w:val="1012"/>
        </w:numPr>
      </w:pPr>
      <w:r>
        <w:t xml:space="preserve">They can be built inexpensively (one person, ~100 hours, &lt;$3K)</w:t>
      </w:r>
    </w:p>
    <w:p>
      <w:pPr>
        <w:pStyle w:val="FirstParagraph"/>
      </w:pPr>
      <w:r>
        <w:rPr>
          <w:b/>
          <w:bCs/>
        </w:rPr>
        <w:t xml:space="preserve">If we can do this for media planning and consulting—we can do this for anything.</w:t>
      </w:r>
    </w:p>
    <w:bookmarkEnd w:id="25"/>
    <w:bookmarkStart w:id="26" w:name="the-real-product-is-the-platform"/>
    <w:p>
      <w:pPr>
        <w:pStyle w:val="Heading3"/>
      </w:pPr>
      <w:r>
        <w:rPr>
          <w:color w:val="FF5F00"/>
        </w:rPr>
        <w:t xml:space="preserve">2.2 The Real Product Is The Platform</w:t>
      </w:r>
    </w:p>
    <w:p>
      <w:pPr>
        <w:pStyle w:val="FirstParagraph"/>
      </w:pPr>
      <w:r>
        <w:t xml:space="preserve">The same architectural patterns that power MPA and CA can power agents for fraud detection, sales enablement, customer success, risk management, compliance automation—any domain where expertise can be encoded.</w:t>
      </w:r>
    </w:p>
    <w:p>
      <w:pPr>
        <w:pStyle w:val="BodyText"/>
      </w:pPr>
      <w:r>
        <w:rPr>
          <w:b/>
          <w:bCs/>
        </w:rPr>
        <w:t xml:space="preserve">Three architectural decisions enable this:</w:t>
      </w:r>
    </w:p>
    <w:p>
      <w:pPr>
        <w:pStyle w:val="BodyText"/>
      </w:pPr>
      <w:r>
        <w:rPr>
          <w:b/>
          <w:bCs/>
        </w:rPr>
        <w:t xml:space="preserve">1. Capability Abstraction Layer</w:t>
      </w:r>
    </w:p>
    <w:p>
      <w:pPr>
        <w:pStyle w:val="BodyText"/>
      </w:pPr>
      <w:r>
        <w:t xml:space="preserve">Every capability in MCMAP (budget optimization, LTV modeling, framework application, document generation) is abstracted from its specific implementation. This means:</w:t>
      </w:r>
    </w:p>
    <w:p>
      <w:pPr>
        <w:pStyle w:val="Compact"/>
        <w:numPr>
          <w:ilvl w:val="0"/>
          <w:numId w:val="1013"/>
        </w:numPr>
      </w:pPr>
      <w:r>
        <w:t xml:space="preserve">Portable: Budget optimization logic works identically for media spend, fraud detection resource allocation, or liquidity management.</w:t>
      </w:r>
    </w:p>
    <w:p>
      <w:pPr>
        <w:pStyle w:val="Compact"/>
        <w:numPr>
          <w:ilvl w:val="0"/>
          <w:numId w:val="1013"/>
        </w:numPr>
      </w:pPr>
      <w:r>
        <w:t xml:space="preserve">Reusable: Once built, capabilities deploy across unlimited use cases.</w:t>
      </w:r>
    </w:p>
    <w:p>
      <w:pPr>
        <w:pStyle w:val="Compact"/>
        <w:numPr>
          <w:ilvl w:val="0"/>
          <w:numId w:val="1013"/>
        </w:numPr>
      </w:pPr>
      <w:r>
        <w:t xml:space="preserve">Composable: New domains combine existing capabilities rather than building from scratch.</w:t>
      </w:r>
    </w:p>
    <w:p>
      <w:pPr>
        <w:pStyle w:val="FirstParagraph"/>
      </w:pPr>
      <w:r>
        <w:rPr>
          <w:b/>
          <w:bCs/>
        </w:rPr>
        <w:t xml:space="preserve">2. Shared Orchestration (ORC Agent)</w:t>
      </w:r>
    </w:p>
    <w:p>
      <w:pPr>
        <w:pStyle w:val="BodyText"/>
      </w:pPr>
      <w:r>
        <w:t xml:space="preserve">One orchestrator routes all requests, manages all sessions, enforces all security policies across every domain:</w:t>
      </w:r>
    </w:p>
    <w:p>
      <w:pPr>
        <w:pStyle w:val="Compact"/>
        <w:numPr>
          <w:ilvl w:val="0"/>
          <w:numId w:val="1014"/>
        </w:numPr>
      </w:pPr>
      <w:r>
        <w:t xml:space="preserve">Single Entry Point: Users interact with</w:t>
      </w:r>
      <w:r>
        <w:t xml:space="preserve"> </w:t>
      </w:r>
      <w:r>
        <w:t xml:space="preserve">‘MCMAP’</w:t>
      </w:r>
      <w:r>
        <w:t xml:space="preserve">—ORC determines which specialist agents to invoke.</w:t>
      </w:r>
    </w:p>
    <w:p>
      <w:pPr>
        <w:pStyle w:val="Compact"/>
        <w:numPr>
          <w:ilvl w:val="0"/>
          <w:numId w:val="1014"/>
        </w:numPr>
      </w:pPr>
      <w:r>
        <w:t xml:space="preserve">Session Isolation: Each user’s data stays private. No cross-contamination.</w:t>
      </w:r>
    </w:p>
    <w:p>
      <w:pPr>
        <w:pStyle w:val="Compact"/>
        <w:numPr>
          <w:ilvl w:val="0"/>
          <w:numId w:val="1014"/>
        </w:numPr>
      </w:pPr>
      <w:r>
        <w:t xml:space="preserve">Security Enforcement: DLP policies, data provenance, audit logging applied uniformly.</w:t>
      </w:r>
    </w:p>
    <w:p>
      <w:pPr>
        <w:pStyle w:val="FirstParagraph"/>
      </w:pPr>
      <w:r>
        <w:rPr>
          <w:b/>
          <w:bCs/>
        </w:rPr>
        <w:t xml:space="preserve">3. Configuration-Driven Expansion</w:t>
      </w:r>
    </w:p>
    <w:p>
      <w:pPr>
        <w:pStyle w:val="BodyText"/>
      </w:pPr>
      <w:r>
        <w:t xml:space="preserve">Adding new capabilities doesn’t require code changes:</w:t>
      </w:r>
    </w:p>
    <w:p>
      <w:pPr>
        <w:pStyle w:val="Compact"/>
        <w:numPr>
          <w:ilvl w:val="0"/>
          <w:numId w:val="1015"/>
        </w:numPr>
      </w:pPr>
      <w:r>
        <w:t xml:space="preserve">New Industry Vertical: Update knowledge base. 1-2 weeks.</w:t>
      </w:r>
    </w:p>
    <w:p>
      <w:pPr>
        <w:pStyle w:val="Compact"/>
        <w:numPr>
          <w:ilvl w:val="0"/>
          <w:numId w:val="1015"/>
        </w:numPr>
      </w:pPr>
      <w:r>
        <w:t xml:space="preserve">New Data Source: Configure connector. Days.</w:t>
      </w:r>
    </w:p>
    <w:p>
      <w:pPr>
        <w:pStyle w:val="Compact"/>
        <w:numPr>
          <w:ilvl w:val="0"/>
          <w:numId w:val="1015"/>
        </w:numPr>
      </w:pPr>
      <w:r>
        <w:t xml:space="preserve">New Agent Domain: Define routing, KB, prompts. ~2 weeks.</w:t>
      </w:r>
    </w:p>
    <w:bookmarkEnd w:id="26"/>
    <w:bookmarkStart w:id="27" w:name="X97d90c745cb3fbbde9ff5bb4cce4d7b08462ed6"/>
    <w:p>
      <w:pPr>
        <w:pStyle w:val="Heading3"/>
      </w:pPr>
      <w:r>
        <w:rPr>
          <w:color w:val="FF5F00"/>
        </w:rPr>
        <w:t xml:space="preserve">2.3 Why This Architecture Matters Strategically</w:t>
      </w:r>
    </w:p>
    <w:p>
      <w:pPr>
        <w:pStyle w:val="FirstParagraph"/>
      </w:pPr>
      <w:r>
        <w:t xml:space="preserve">The question is not</w:t>
      </w:r>
      <w:r>
        <w:t xml:space="preserve"> </w:t>
      </w:r>
      <w:r>
        <w:t xml:space="preserve">‘what can MCMAP do?’</w:t>
      </w:r>
    </w:p>
    <w:p>
      <w:pPr>
        <w:pStyle w:val="BodyText"/>
      </w:pPr>
      <w:r>
        <w:rPr>
          <w:b/>
          <w:bCs/>
        </w:rPr>
        <w:t xml:space="preserve">The question is</w:t>
      </w:r>
      <w:r>
        <w:rPr>
          <w:b/>
          <w:bCs/>
        </w:rPr>
        <w:t xml:space="preserve"> </w:t>
      </w:r>
      <w:r>
        <w:rPr>
          <w:b/>
          <w:bCs/>
        </w:rPr>
        <w:t xml:space="preserve">‘what does Mastercard want MCMAP to do next?’</w:t>
      </w:r>
    </w:p>
    <w:p>
      <w:r>
        <w:br w:type="page"/>
      </w:r>
    </w:p>
    <w:bookmarkEnd w:id="27"/>
    <w:bookmarkEnd w:id="28"/>
    <w:bookmarkStart w:id="34" w:name="part-3-strategic-platform-vision"/>
    <w:p>
      <w:pPr>
        <w:pStyle w:val="Heading2"/>
      </w:pPr>
      <w:r>
        <w:rPr>
          <w:color w:val="FF5F00"/>
        </w:rPr>
        <w:t xml:space="preserve">PART 3: Strategic Platform Vision</w:t>
      </w:r>
    </w:p>
    <w:bookmarkStart w:id="29" w:name="X10383960f8910f33cac88152aa8b9d3460d1c46"/>
    <w:p>
      <w:pPr>
        <w:pStyle w:val="Heading3"/>
      </w:pPr>
      <w:r>
        <w:rPr>
          <w:color w:val="FF5F00"/>
        </w:rPr>
        <w:t xml:space="preserve">3.1 From Use Cases to Platform: The Agent Factory Model</w:t>
      </w:r>
    </w:p>
    <w:p>
      <w:pPr>
        <w:pStyle w:val="FirstParagraph"/>
      </w:pPr>
      <w:r>
        <w:t xml:space="preserve">MCMAP is enterprise AI infrastructure. Once the foundation exists, the marginal cost of adding new agents approaches zero while marginal value compounds.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29"/>
    <w:bookmarkStart w:id="30" w:name="X8929d3577a82df01e76dc719aa096ef1d684142"/>
    <w:p>
      <w:pPr>
        <w:pStyle w:val="Heading3"/>
      </w:pPr>
      <w:r>
        <w:rPr>
          <w:color w:val="FF5F00"/>
        </w:rPr>
        <w:t xml:space="preserve">3.2 Architecture Principles That Enable Scale</w:t>
      </w:r>
    </w:p>
    <w:p>
      <w:pPr>
        <w:pStyle w:val="FirstParagraph"/>
      </w:pPr>
      <w:r>
        <w:rPr>
          <w:b/>
          <w:bCs/>
        </w:rP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</w:p>
    <w:p>
      <w:pPr>
        <w:pStyle w:val="Compact"/>
        <w:numPr>
          <w:ilvl w:val="0"/>
          <w:numId w:val="1016"/>
        </w:numPr>
      </w:pPr>
      <w:r>
        <w:t xml:space="preserve">Orchestration (ORC)</w:t>
      </w:r>
    </w:p>
    <w:p>
      <w:pPr>
        <w:pStyle w:val="Compact"/>
        <w:numPr>
          <w:ilvl w:val="0"/>
          <w:numId w:val="1016"/>
        </w:numPr>
      </w:pPr>
      <w:r>
        <w:t xml:space="preserve">Capability Abstraction Layer</w:t>
      </w:r>
    </w:p>
    <w:p>
      <w:pPr>
        <w:pStyle w:val="Compact"/>
        <w:numPr>
          <w:ilvl w:val="0"/>
          <w:numId w:val="1016"/>
        </w:numPr>
      </w:pPr>
      <w:r>
        <w:t xml:space="preserve">Session &amp; Memory Management</w:t>
      </w:r>
    </w:p>
    <w:p>
      <w:pPr>
        <w:pStyle w:val="Compact"/>
        <w:numPr>
          <w:ilvl w:val="0"/>
          <w:numId w:val="1016"/>
        </w:numPr>
      </w:pPr>
      <w:r>
        <w:t xml:space="preserve">Security &amp; Compliance Controls</w:t>
      </w:r>
    </w:p>
    <w:p>
      <w:pPr>
        <w:pStyle w:val="FirstParagraph"/>
      </w:pPr>
      <w:r>
        <w:rPr>
          <w:b/>
          <w:bCs/>
        </w:rPr>
        <w:t xml:space="preserve">Extensibility Patterns</w:t>
      </w:r>
    </w:p>
    <w:p>
      <w:pPr>
        <w:pStyle w:val="Compact"/>
        <w:numPr>
          <w:ilvl w:val="0"/>
          <w:numId w:val="1017"/>
        </w:numPr>
      </w:pPr>
      <w:r>
        <w:t xml:space="preserve">Configuration-driven expansion</w:t>
      </w:r>
    </w:p>
    <w:p>
      <w:pPr>
        <w:pStyle w:val="Compact"/>
        <w:numPr>
          <w:ilvl w:val="0"/>
          <w:numId w:val="1017"/>
        </w:numPr>
      </w:pPr>
      <w:r>
        <w:t xml:space="preserve">Knowledge base modularity</w:t>
      </w:r>
    </w:p>
    <w:p>
      <w:pPr>
        <w:pStyle w:val="Compact"/>
        <w:numPr>
          <w:ilvl w:val="0"/>
          <w:numId w:val="1017"/>
        </w:numPr>
      </w:pPr>
      <w:r>
        <w:t xml:space="preserve">AI Builder prompt templates</w:t>
      </w:r>
    </w:p>
    <w:p>
      <w:pPr>
        <w:pStyle w:val="Compact"/>
        <w:numPr>
          <w:ilvl w:val="0"/>
          <w:numId w:val="1017"/>
        </w:numPr>
      </w:pPr>
      <w:r>
        <w:t xml:space="preserve">Registry-based capabilities</w:t>
      </w:r>
    </w:p>
    <w:p>
      <w:pPr>
        <w:pStyle w:val="FirstParagraph"/>
      </w:pPr>
      <w:r>
        <w:rPr>
          <w:b/>
          <w:bCs/>
        </w:rPr>
        <w:t xml:space="preserve">Enterprise Readiness</w:t>
      </w:r>
    </w:p>
    <w:p>
      <w:pPr>
        <w:pStyle w:val="Compact"/>
        <w:numPr>
          <w:ilvl w:val="0"/>
          <w:numId w:val="1018"/>
        </w:numPr>
      </w:pPr>
      <w:r>
        <w:t xml:space="preserve">DLP-compliant connectors</w:t>
      </w:r>
    </w:p>
    <w:p>
      <w:pPr>
        <w:pStyle w:val="Compact"/>
        <w:numPr>
          <w:ilvl w:val="0"/>
          <w:numId w:val="1018"/>
        </w:numPr>
      </w:pPr>
      <w:r>
        <w:t xml:space="preserve">Azure AD authentication</w:t>
      </w:r>
    </w:p>
    <w:p>
      <w:pPr>
        <w:pStyle w:val="Compact"/>
        <w:numPr>
          <w:ilvl w:val="0"/>
          <w:numId w:val="1018"/>
        </w:numPr>
      </w:pPr>
      <w:r>
        <w:t xml:space="preserve">Audit logging &amp; telemetry</w:t>
      </w:r>
    </w:p>
    <w:p>
      <w:pPr>
        <w:pStyle w:val="Compact"/>
        <w:numPr>
          <w:ilvl w:val="0"/>
          <w:numId w:val="1018"/>
        </w:numPr>
      </w:pPr>
      <w:r>
        <w:t xml:space="preserve">Multi-environment support</w:t>
      </w:r>
    </w:p>
    <w:bookmarkEnd w:id="30"/>
    <w:bookmarkStart w:id="31" w:name="the-agent-factory-model"/>
    <w:p>
      <w:pPr>
        <w:pStyle w:val="Heading3"/>
      </w:pPr>
      <w:r>
        <w:rPr>
          <w:color w:val="FF5F00"/>
        </w:rPr>
        <w:t xml:space="preserve">3.3 The</w:t>
      </w:r>
      <w:r>
        <w:rPr>
          <w:color w:val="FF5F00"/>
        </w:rPr>
        <w:t xml:space="preserve"> </w:t>
      </w:r>
      <w:r>
        <w:rPr>
          <w:color w:val="FF5F00"/>
        </w:rPr>
        <w:t xml:space="preserve">‘Agent Factory’</w:t>
      </w:r>
      <w:r>
        <w:rPr>
          <w:color w:val="FF5F00"/>
        </w:rPr>
        <w:t xml:space="preserve"> </w:t>
      </w:r>
      <w:r>
        <w:rPr>
          <w:color w:val="FF5F00"/>
        </w:rPr>
        <w:t xml:space="preserve">Model</w:t>
      </w:r>
    </w:p>
    <w:p>
      <w:pPr>
        <w:pStyle w:val="FirstParagraph"/>
      </w:pPr>
      <w:r>
        <w:t xml:space="preserve">MCMAP transforms Mastercard from building individual AI solutions to operating an agent factory:</w:t>
      </w:r>
    </w:p>
    <w:p>
      <w:pPr>
        <w:pStyle w:val="Compact"/>
        <w:numPr>
          <w:ilvl w:val="0"/>
          <w:numId w:val="1019"/>
        </w:numPr>
      </w:pPr>
      <w:r>
        <w:t xml:space="preserve">Build Once: Core infrastructure serves all agents</w:t>
      </w:r>
    </w:p>
    <w:p>
      <w:pPr>
        <w:pStyle w:val="Compact"/>
        <w:numPr>
          <w:ilvl w:val="0"/>
          <w:numId w:val="1019"/>
        </w:numPr>
      </w:pPr>
      <w:r>
        <w:t xml:space="preserve">Deploy Many: Each new agent leverages existing components</w:t>
      </w:r>
    </w:p>
    <w:p>
      <w:pPr>
        <w:pStyle w:val="Compact"/>
        <w:numPr>
          <w:ilvl w:val="0"/>
          <w:numId w:val="1019"/>
        </w:numPr>
      </w:pPr>
      <w:r>
        <w:t xml:space="preserve">Scale Efficiently: Marginal cost decreases per agent</w:t>
      </w:r>
    </w:p>
    <w:p>
      <w:pPr>
        <w:pStyle w:val="Compact"/>
        <w:numPr>
          <w:ilvl w:val="0"/>
          <w:numId w:val="1019"/>
        </w:numPr>
      </w:pPr>
      <w:r>
        <w:t xml:space="preserve">Maintain Centrally: Updates propagate across all agents</w:t>
      </w:r>
    </w:p>
    <w:p>
      <w:pPr>
        <w:pStyle w:val="Compact"/>
        <w:numPr>
          <w:ilvl w:val="0"/>
          <w:numId w:val="1019"/>
        </w:numPr>
      </w:pPr>
      <w:r>
        <w:t xml:space="preserve">Govern Consistently: Security and compliance built in</w:t>
      </w:r>
    </w:p>
    <w:p>
      <w:r>
        <w:br w:type="page"/>
      </w:r>
    </w:p>
    <w:bookmarkEnd w:id="31"/>
    <w:bookmarkStart w:id="32" w:name="Xd39dcb34e960ed1fcf5a9a4e5d03f99394ec510"/>
    <w:p>
      <w:pPr>
        <w:pStyle w:val="Heading3"/>
      </w:pPr>
      <w:r>
        <w:rPr>
          <w:color w:val="FF5F00"/>
        </w:rPr>
        <w:t xml:space="preserve">3.4 Revenue Opportunities Beyond Media/Consulting</w:t>
      </w:r>
    </w:p>
    <w:p>
      <w:pPr>
        <w:pStyle w:val="FirstParagraph"/>
      </w:pPr>
      <w:r>
        <w:t xml:space="preserve">The same platform architecture creates opportunities across Mastercard’s entire service portfolio:</w:t>
      </w:r>
    </w:p>
    <w:p>
      <w:pPr>
        <w:pStyle w:val="BodyText"/>
      </w:pPr>
      <w:r>
        <w:rPr>
          <w:b/>
          <w:bCs/>
        </w:rPr>
        <w:t xml:space="preserve">Advisors &amp; Consulting</w:t>
      </w:r>
    </w:p>
    <w:p>
      <w:pPr>
        <w:pStyle w:val="Compact"/>
        <w:numPr>
          <w:ilvl w:val="0"/>
          <w:numId w:val="1020"/>
        </w:numPr>
      </w:pPr>
      <w:r>
        <w:t xml:space="preserve">AI Agent Implementation Practice: Help clients deploy custom AI agents using MCMAP patterns</w:t>
      </w:r>
    </w:p>
    <w:p>
      <w:pPr>
        <w:pStyle w:val="Compact"/>
        <w:numPr>
          <w:ilvl w:val="0"/>
          <w:numId w:val="1020"/>
        </w:numPr>
      </w:pPr>
      <w:r>
        <w:t xml:space="preserve">Strategic Assessment Automation: Accelerate consulting assessments from weeks to days</w:t>
      </w:r>
    </w:p>
    <w:p>
      <w:pPr>
        <w:pStyle w:val="Compact"/>
        <w:numPr>
          <w:ilvl w:val="0"/>
          <w:numId w:val="1020"/>
        </w:numPr>
      </w:pPr>
      <w:r>
        <w:t xml:space="preserve">Framework-as-a-Service: License 60+ consulting frameworks as agent-powered tools</w:t>
      </w:r>
    </w:p>
    <w:p>
      <w:pPr>
        <w:pStyle w:val="Compact"/>
        <w:numPr>
          <w:ilvl w:val="0"/>
          <w:numId w:val="1020"/>
        </w:numPr>
      </w:pPr>
      <w:r>
        <w:t xml:space="preserve">Client Workshop Acceleration: Deploy live AI prototypes during sales workshops</w:t>
      </w:r>
    </w:p>
    <w:p>
      <w:pPr>
        <w:pStyle w:val="FirstParagraph"/>
      </w:pPr>
      <w:r>
        <w:rPr>
          <w:b/>
          <w:bCs/>
        </w:rPr>
        <w:t xml:space="preserve">Network &amp; Payments</w:t>
      </w:r>
    </w:p>
    <w:p>
      <w:pPr>
        <w:pStyle w:val="Compact"/>
        <w:numPr>
          <w:ilvl w:val="0"/>
          <w:numId w:val="1021"/>
        </w:numPr>
      </w:pPr>
      <w:r>
        <w:t xml:space="preserve">Autonomous Fraud Defense: Agents that continuously learn, adapt, and coordinate across detection layers</w:t>
      </w:r>
    </w:p>
    <w:p>
      <w:pPr>
        <w:pStyle w:val="Compact"/>
        <w:numPr>
          <w:ilvl w:val="0"/>
          <w:numId w:val="1021"/>
        </w:numPr>
      </w:pPr>
      <w:r>
        <w:t xml:space="preserve">Real-Time Risk Scoring: Dynamic merchant and transaction risk agents using SpendingPulse data</w:t>
      </w:r>
    </w:p>
    <w:p>
      <w:pPr>
        <w:pStyle w:val="Compact"/>
        <w:numPr>
          <w:ilvl w:val="0"/>
          <w:numId w:val="1021"/>
        </w:numPr>
      </w:pPr>
      <w:r>
        <w:t xml:space="preserve">Payment Optimization Agents: Intelligent routing, approval rate optimization, cost reduction</w:t>
      </w:r>
    </w:p>
    <w:p>
      <w:pPr>
        <w:pStyle w:val="FirstParagraph"/>
      </w:pPr>
      <w:r>
        <w:rPr>
          <w:b/>
          <w:bCs/>
        </w:rPr>
        <w:t xml:space="preserve">Analytics &amp; Risk</w:t>
      </w:r>
    </w:p>
    <w:p>
      <w:pPr>
        <w:pStyle w:val="Compact"/>
        <w:numPr>
          <w:ilvl w:val="0"/>
          <w:numId w:val="1022"/>
        </w:numPr>
      </w:pPr>
      <w:r>
        <w:t xml:space="preserve">Commerce Media Intelligence: Combine Audiences + media planning for closed-loop attribution</w:t>
      </w:r>
    </w:p>
    <w:p>
      <w:pPr>
        <w:pStyle w:val="Compact"/>
        <w:numPr>
          <w:ilvl w:val="0"/>
          <w:numId w:val="1022"/>
        </w:numPr>
      </w:pPr>
      <w:r>
        <w:t xml:space="preserve">Predictive Market Intelligence: SpendingPulse-powered market trend and competitive agents</w:t>
      </w:r>
    </w:p>
    <w:p>
      <w:pPr>
        <w:pStyle w:val="Compact"/>
        <w:numPr>
          <w:ilvl w:val="0"/>
          <w:numId w:val="1022"/>
        </w:numPr>
      </w:pPr>
      <w:r>
        <w:t xml:space="preserve">Portfolio Risk Modeling: Automated issuer portfolio analysis and early warning systems</w:t>
      </w:r>
    </w:p>
    <w:p>
      <w:pPr>
        <w:pStyle w:val="FirstParagraph"/>
      </w:pPr>
      <w:r>
        <w:rPr>
          <w:b/>
          <w:bCs/>
        </w:rPr>
        <w:t xml:space="preserve">Marketing &amp; Loyalty</w:t>
      </w:r>
    </w:p>
    <w:p>
      <w:pPr>
        <w:pStyle w:val="Compact"/>
        <w:numPr>
          <w:ilvl w:val="0"/>
          <w:numId w:val="1023"/>
        </w:numPr>
      </w:pPr>
      <w:r>
        <w:t xml:space="preserve">Marketing Automation Suite: White-label media planning for issuing banks and merchant partners</w:t>
      </w:r>
    </w:p>
    <w:p>
      <w:pPr>
        <w:pStyle w:val="Compact"/>
        <w:numPr>
          <w:ilvl w:val="0"/>
          <w:numId w:val="1023"/>
        </w:numPr>
      </w:pPr>
      <w:r>
        <w:t xml:space="preserve">Campaign Intelligence Platform: Real-time campaign optimization across all channels</w:t>
      </w:r>
    </w:p>
    <w:p>
      <w:pPr>
        <w:pStyle w:val="Compact"/>
        <w:numPr>
          <w:ilvl w:val="0"/>
          <w:numId w:val="1023"/>
        </w:numPr>
      </w:pPr>
      <w:r>
        <w:t xml:space="preserve">Loyalty Program Optimization: Points economics, redemption prediction, member lifetime value</w:t>
      </w:r>
    </w:p>
    <w:p>
      <w:pPr>
        <w:pStyle w:val="Compact"/>
        <w:numPr>
          <w:ilvl w:val="0"/>
          <w:numId w:val="1023"/>
        </w:numPr>
      </w:pPr>
      <w:r>
        <w:t xml:space="preserve">Personalization Engine: AI-driven offer targeting and creative optimization</w:t>
      </w:r>
    </w:p>
    <w:p>
      <w:pPr>
        <w:pStyle w:val="FirstParagraph"/>
      </w:pPr>
      <w:r>
        <w:rPr>
          <w:b/>
          <w:bCs/>
        </w:rPr>
        <w:t xml:space="preserve">Data Services &amp; Open Banking</w:t>
      </w:r>
    </w:p>
    <w:p>
      <w:pPr>
        <w:pStyle w:val="Compact"/>
        <w:numPr>
          <w:ilvl w:val="0"/>
          <w:numId w:val="1024"/>
        </w:numPr>
      </w:pPr>
      <w:r>
        <w:t xml:space="preserve">Data Product Agents: Self-service access to Mastercard data products via conversational AI</w:t>
      </w:r>
    </w:p>
    <w:p>
      <w:pPr>
        <w:pStyle w:val="Compact"/>
        <w:numPr>
          <w:ilvl w:val="0"/>
          <w:numId w:val="1024"/>
        </w:numPr>
      </w:pPr>
      <w:r>
        <w:t xml:space="preserve">Open Banking Intelligence: Account aggregation insights and financial wellness agents</w:t>
      </w:r>
    </w:p>
    <w:p>
      <w:pPr>
        <w:pStyle w:val="Compact"/>
        <w:numPr>
          <w:ilvl w:val="0"/>
          <w:numId w:val="1024"/>
        </w:numPr>
      </w:pPr>
      <w:r>
        <w:t xml:space="preserve">Merchant Analytics Suite: Business performance, benchmarking, and growth recommendation agents</w:t>
      </w:r>
    </w:p>
    <w:p>
      <w:r>
        <w:br w:type="page"/>
      </w:r>
    </w:p>
    <w:bookmarkEnd w:id="32"/>
    <w:bookmarkStart w:id="33" w:name="strategic-positioning-competitive-moats"/>
    <w:p>
      <w:pPr>
        <w:pStyle w:val="Heading3"/>
      </w:pPr>
      <w:r>
        <w:rPr>
          <w:color w:val="FF5F00"/>
        </w:rPr>
        <w:t xml:space="preserve">3.5 Strategic Positioning &amp; Competitive Moats</w:t>
      </w:r>
    </w:p>
    <w:p>
      <w:pPr>
        <w:pStyle w:val="FirstParagraph"/>
      </w:pPr>
      <w:r>
        <w:rPr>
          <w:b/>
          <w:bCs/>
        </w:rPr>
        <w:t xml:space="preserve">Mastercard Data Integration</w:t>
      </w:r>
    </w:p>
    <w:p>
      <w:pPr>
        <w:pStyle w:val="Compact"/>
        <w:numPr>
          <w:ilvl w:val="0"/>
          <w:numId w:val="1025"/>
        </w:numPr>
      </w:pPr>
      <w:r>
        <w:t xml:space="preserve">Unique Data Assets: Only Mastercard can integrate proprietary transaction intelligence, Audiences, SpendingPulse, Commerce Media.</w:t>
      </w:r>
    </w:p>
    <w:p>
      <w:pPr>
        <w:pStyle w:val="Compact"/>
        <w:numPr>
          <w:ilvl w:val="0"/>
          <w:numId w:val="1025"/>
        </w:numPr>
      </w:pPr>
      <w:r>
        <w:t xml:space="preserve">Compounding Advantage: Every agent that leverages Mastercard data strengthens the moat.</w:t>
      </w:r>
    </w:p>
    <w:p>
      <w:pPr>
        <w:pStyle w:val="Compact"/>
        <w:numPr>
          <w:ilvl w:val="0"/>
          <w:numId w:val="1025"/>
        </w:numPr>
      </w:pPr>
      <w:r>
        <w:t xml:space="preserve">Natural Lock-In: Clients using MCMAP-powered services become dependent on Mastercard’s data ecosystem.</w:t>
      </w:r>
    </w:p>
    <w:p>
      <w:pPr>
        <w:pStyle w:val="FirstParagraph"/>
      </w:pPr>
      <w:r>
        <w:rPr>
          <w:b/>
          <w:bCs/>
        </w:rPr>
        <w:t xml:space="preserve">Enterprise Trust &amp; Security</w:t>
      </w:r>
    </w:p>
    <w:p>
      <w:pPr>
        <w:pStyle w:val="Compact"/>
        <w:numPr>
          <w:ilvl w:val="0"/>
          <w:numId w:val="1026"/>
        </w:numPr>
      </w:pPr>
      <w:r>
        <w:t xml:space="preserve">Mastercard Brand: Enterprise security standards enable adoption where competitors cannot.</w:t>
      </w:r>
    </w:p>
    <w:p>
      <w:pPr>
        <w:pStyle w:val="Compact"/>
        <w:numPr>
          <w:ilvl w:val="0"/>
          <w:numId w:val="1026"/>
        </w:numPr>
      </w:pPr>
      <w:r>
        <w:t xml:space="preserve">DLP Compliance: Full compliance with Mastercard policies from day one.</w:t>
      </w:r>
    </w:p>
    <w:p>
      <w:pPr>
        <w:pStyle w:val="Compact"/>
        <w:numPr>
          <w:ilvl w:val="0"/>
          <w:numId w:val="1026"/>
        </w:numPr>
      </w:pPr>
      <w:r>
        <w:t xml:space="preserve">Proven at Scale: Production deployment demonstrates enterprise readiness.</w:t>
      </w:r>
    </w:p>
    <w:p>
      <w:pPr>
        <w:pStyle w:val="FirstParagraph"/>
      </w:pPr>
      <w:r>
        <w:rPr>
          <w:b/>
          <w:bCs/>
        </w:rPr>
        <w:t xml:space="preserve">Platform Portability</w:t>
      </w:r>
    </w:p>
    <w:p>
      <w:pPr>
        <w:pStyle w:val="Compact"/>
        <w:numPr>
          <w:ilvl w:val="0"/>
          <w:numId w:val="1027"/>
        </w:numPr>
      </w:pPr>
      <w:r>
        <w:t xml:space="preserve">Not Locked to Power Platform: Capability abstraction enables migration to any stack.</w:t>
      </w:r>
    </w:p>
    <w:p>
      <w:pPr>
        <w:pStyle w:val="Compact"/>
        <w:numPr>
          <w:ilvl w:val="0"/>
          <w:numId w:val="1027"/>
        </w:numPr>
      </w:pPr>
      <w:r>
        <w:t xml:space="preserve">Future-Proof Architecture: Technology choices can evolve while capabilities persist.</w:t>
      </w:r>
    </w:p>
    <w:p>
      <w:r>
        <w:br w:type="page"/>
      </w:r>
    </w:p>
    <w:bookmarkEnd w:id="33"/>
    <w:bookmarkEnd w:id="34"/>
    <w:bookmarkStart w:id="39" w:name="X0abdf05f8e79627310acf02eef796151bf296e4"/>
    <w:p>
      <w:pPr>
        <w:pStyle w:val="Heading2"/>
      </w:pPr>
      <w:r>
        <w:rPr>
          <w:color w:val="FF5F00"/>
        </w:rPr>
        <w:t xml:space="preserve">PART 4: Technical Foundation &amp; Production Readiness</w:t>
      </w:r>
    </w:p>
    <w:bookmarkStart w:id="35" w:name="platform-stack"/>
    <w:p>
      <w:pPr>
        <w:pStyle w:val="Heading3"/>
      </w:pPr>
      <w:r>
        <w:rPr>
          <w:color w:val="FF5F00"/>
        </w:rPr>
        <w:t xml:space="preserve">4.1 Platform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Interface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  <w:tc>
          <w:tcPr/>
          <w:p>
            <w:pPr>
              <w:pStyle w:val="Compact"/>
            </w:pPr>
            <w:r>
              <w:t xml:space="preserve">Conversational UI, session management, multi-turn dialogs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&amp; Computation</w:t>
            </w:r>
          </w:p>
        </w:tc>
        <w:tc>
          <w:tcPr/>
          <w:p>
            <w:pPr>
              <w:pStyle w:val="Compact"/>
            </w:pPr>
            <w:r>
              <w:t xml:space="preserve">Azure AI Builder</w:t>
            </w:r>
          </w:p>
        </w:tc>
        <w:tc>
          <w:tcPr/>
          <w:p>
            <w:pPr>
              <w:pStyle w:val="Compact"/>
            </w:pPr>
            <w:r>
              <w:t xml:space="preserve">GPT-4 integration, prompt management, model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18 tables, session isolation, audit trails, row-level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11 flows, API integration, document generation, data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37+ documents, RAG retrieval,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Extensions</w:t>
            </w:r>
          </w:p>
        </w:tc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Complex calculations, external API calls, document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Azure AD + Key Vault</w:t>
            </w:r>
          </w:p>
        </w:tc>
        <w:tc>
          <w:tcPr/>
          <w:p>
            <w:pPr>
              <w:pStyle w:val="Compact"/>
            </w:pPr>
            <w:r>
              <w:t xml:space="preserve">Authentication, authorization, secret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Portability &amp; Technology Independence</w:t>
      </w:r>
    </w:p>
    <w:p>
      <w:pPr>
        <w:pStyle w:val="BodyText"/>
      </w:pPr>
      <w:r>
        <w:t xml:space="preserve">MCMAP is deployed on Microsoft Power Platform but architected for complete technology independence. Every layer can be swapped without rebuilding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2772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MCMAP Layer</w:t>
            </w:r>
          </w:p>
        </w:tc>
        <w:tc>
          <w:tcPr/>
          <w:p>
            <w:pPr>
              <w:pStyle w:val="Compact"/>
            </w:pPr>
            <w:r>
              <w:t xml:space="preserve">Current Stack</w:t>
            </w:r>
          </w:p>
        </w:tc>
        <w:tc>
          <w:tcPr/>
          <w:p>
            <w:pPr>
              <w:pStyle w:val="Compact"/>
            </w:pPr>
            <w:r>
              <w:t xml:space="preserve">Portable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Interface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LangGraph, LangChain, AutoGen, custom React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&amp; Computation</w:t>
            </w:r>
          </w:p>
        </w:tc>
        <w:tc>
          <w:tcPr/>
          <w:p>
            <w:pPr>
              <w:pStyle w:val="Compact"/>
            </w:pPr>
            <w:r>
              <w:t xml:space="preserve">Azure AI Builder</w:t>
            </w:r>
          </w:p>
        </w:tc>
        <w:tc>
          <w:tcPr/>
          <w:p>
            <w:pPr>
              <w:pStyle w:val="Compact"/>
            </w:pPr>
            <w:r>
              <w:t xml:space="preserve">OpenAI API, Anthropic Claude, Google Gemini, open-source LLMs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PostgreSQL, Databricks, Snowflake, any SQL/NoSQL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LangGraph workflows, Apache Airflow, custom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Any RAG implementation (Pinecone, Weaviate, ChromaDB)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Okta, Auth0, any OIDC/SAML provider</w:t>
            </w:r>
          </w:p>
        </w:tc>
      </w:tr>
    </w:tbl>
    <w:p>
      <w:pPr>
        <w:pStyle w:val="BodyText"/>
      </w:pPr>
      <w:r>
        <w:t xml:space="preserve">This means MCMAP can be customized and deployed for any client on their preferred technology stack, creating unlimited revenue opportunities through platform licensing, custom deployments, and agent-as-a-service offerings.</w:t>
      </w:r>
    </w:p>
    <w:p>
      <w:r>
        <w:br w:type="page"/>
      </w:r>
    </w:p>
    <w:bookmarkEnd w:id="35"/>
    <w:bookmarkStart w:id="36" w:name="agent-system"/>
    <w:p>
      <w:pPr>
        <w:pStyle w:val="Heading3"/>
      </w:pPr>
      <w:r>
        <w:rPr>
          <w:color w:val="FF5F00"/>
        </w:rPr>
        <w:t xml:space="preserve">4.2 Agent System</w:t>
      </w:r>
    </w:p>
    <w:p>
      <w:pPr>
        <w:pStyle w:val="FirstParagraph"/>
      </w:pPr>
      <w:r>
        <w:rPr>
          <w:b/>
          <w:bCs/>
        </w:rPr>
        <w:t xml:space="preserve">11 Specialized Agents | 42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159"/>
        <w:gridCol w:w="1545"/>
        <w:gridCol w:w="2511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classification, routing, session management, specialist coordination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Budget projections, ROAS modeling, reach/frequency, incrementality, attribution, LTV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Segmentation, persona development, behavioral insights, lookalike modeling, LTV scoring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Cross-channel optimization, media mix modeling, synergy analysis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Programmatic efficiency, fee transparency, inventory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Report generation, executive summaries, visual frameworks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Attribution modeling, anomaly detection, predictive forecasting, measurement architecture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Strategy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Framework selection (60+), comparative analysis, multi-framework application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 mapping, readiness assessment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Analysis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Business case development, ROI modeling, implementation roadmaps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Architecture discovery, document navigation, terminology lookup, platform Q&amp;A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br w:type="page"/>
      </w:r>
    </w:p>
    <w:bookmarkEnd w:id="36"/>
    <w:bookmarkStart w:id="37" w:name="security-compliance-posture"/>
    <w:p>
      <w:pPr>
        <w:pStyle w:val="Heading3"/>
      </w:pPr>
      <w:r>
        <w:rPr>
          <w:color w:val="FF5F00"/>
        </w:rPr>
        <w:t xml:space="preserve">4.3 Security &amp; Compliance Posture</w:t>
      </w:r>
    </w:p>
    <w:p>
      <w:pPr>
        <w:pStyle w:val="FirstParagraph"/>
      </w:pPr>
      <w:r>
        <w:rPr>
          <w:b/>
          <w:bCs/>
        </w:rPr>
        <w:t xml:space="preserve">DLP Compliance</w:t>
      </w:r>
    </w:p>
    <w:p>
      <w:pPr>
        <w:pStyle w:val="Compact"/>
        <w:numPr>
          <w:ilvl w:val="0"/>
          <w:numId w:val="1028"/>
        </w:numPr>
      </w:pPr>
      <w:r>
        <w:t xml:space="preserve">Only Mastercard-approved connectors (no HTTP triggers)</w:t>
      </w:r>
    </w:p>
    <w:p>
      <w:pPr>
        <w:pStyle w:val="Compact"/>
        <w:numPr>
          <w:ilvl w:val="0"/>
          <w:numId w:val="1028"/>
        </w:numPr>
      </w:pPr>
      <w:r>
        <w:t xml:space="preserve">All data stays within Mastercard tenant</w:t>
      </w:r>
    </w:p>
    <w:p>
      <w:pPr>
        <w:pStyle w:val="Compact"/>
        <w:numPr>
          <w:ilvl w:val="0"/>
          <w:numId w:val="1028"/>
        </w:numPr>
      </w:pPr>
      <w:r>
        <w:t xml:space="preserve">No external API calls without explicit approval</w:t>
      </w:r>
    </w:p>
    <w:p>
      <w:pPr>
        <w:pStyle w:val="Compact"/>
        <w:numPr>
          <w:ilvl w:val="0"/>
          <w:numId w:val="1028"/>
        </w:numPr>
      </w:pPr>
      <w:r>
        <w:t xml:space="preserve">Full audit logging of all data access</w:t>
      </w:r>
    </w:p>
    <w:p>
      <w:pPr>
        <w:pStyle w:val="FirstParagraph"/>
      </w:pPr>
      <w:r>
        <w:rPr>
          <w:b/>
          <w:bCs/>
        </w:rPr>
        <w:t xml:space="preserve">Data Protection</w:t>
      </w:r>
    </w:p>
    <w:p>
      <w:pPr>
        <w:pStyle w:val="Compact"/>
        <w:numPr>
          <w:ilvl w:val="0"/>
          <w:numId w:val="1029"/>
        </w:numPr>
      </w:pPr>
      <w:r>
        <w:t xml:space="preserve">Session isolation: Users can only access their own data</w:t>
      </w:r>
    </w:p>
    <w:p>
      <w:pPr>
        <w:pStyle w:val="Compact"/>
        <w:numPr>
          <w:ilvl w:val="0"/>
          <w:numId w:val="1029"/>
        </w:numPr>
      </w:pPr>
      <w:r>
        <w:t xml:space="preserve">Row-level security enforced in Dataverse</w:t>
      </w:r>
    </w:p>
    <w:p>
      <w:pPr>
        <w:pStyle w:val="Compact"/>
        <w:numPr>
          <w:ilvl w:val="0"/>
          <w:numId w:val="1029"/>
        </w:numPr>
      </w:pPr>
      <w:r>
        <w:t xml:space="preserve">Data provenance tracking for all AI-generated content</w:t>
      </w:r>
    </w:p>
    <w:p>
      <w:pPr>
        <w:pStyle w:val="Compact"/>
        <w:numPr>
          <w:ilvl w:val="0"/>
          <w:numId w:val="1029"/>
        </w:numPr>
      </w:pPr>
      <w:r>
        <w:t xml:space="preserve">Automated PII detection and masking</w:t>
      </w:r>
    </w:p>
    <w:p>
      <w:pPr>
        <w:pStyle w:val="FirstParagraph"/>
      </w:pPr>
      <w:r>
        <w:rPr>
          <w:b/>
          <w:bCs/>
        </w:rPr>
        <w:t xml:space="preserve">Authentication &amp; Authorization</w:t>
      </w:r>
    </w:p>
    <w:p>
      <w:pPr>
        <w:pStyle w:val="Compact"/>
        <w:numPr>
          <w:ilvl w:val="0"/>
          <w:numId w:val="1030"/>
        </w:numPr>
      </w:pPr>
      <w:r>
        <w:t xml:space="preserve">Azure AD integration for all users</w:t>
      </w:r>
    </w:p>
    <w:p>
      <w:pPr>
        <w:pStyle w:val="Compact"/>
        <w:numPr>
          <w:ilvl w:val="0"/>
          <w:numId w:val="1030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30"/>
        </w:numPr>
      </w:pPr>
      <w:r>
        <w:t xml:space="preserve">Secrets managed in Azure Key Vault</w:t>
      </w:r>
    </w:p>
    <w:p>
      <w:pPr>
        <w:pStyle w:val="Compact"/>
        <w:numPr>
          <w:ilvl w:val="0"/>
          <w:numId w:val="1030"/>
        </w:numPr>
      </w:pPr>
      <w:r>
        <w:t xml:space="preserve">No credentials in code or configuration</w:t>
      </w:r>
    </w:p>
    <w:bookmarkEnd w:id="37"/>
    <w:bookmarkStart w:id="38" w:name="quality-assurance-performance"/>
    <w:p>
      <w:pPr>
        <w:pStyle w:val="Heading3"/>
      </w:pPr>
      <w:r>
        <w:rPr>
          <w:color w:val="FF5F00"/>
        </w:rPr>
        <w:t xml:space="preserve">4.4 Quality Assurance &amp; Performance</w:t>
      </w:r>
    </w:p>
    <w:p>
      <w:pPr>
        <w:pStyle w:val="FirstParagraph"/>
      </w:pPr>
      <w:r>
        <w:rPr>
          <w:b/>
          <w:bCs/>
        </w:rPr>
        <w:t xml:space="preserve">Testing Framework</w:t>
      </w:r>
    </w:p>
    <w:p>
      <w:pPr>
        <w:pStyle w:val="Compact"/>
        <w:numPr>
          <w:ilvl w:val="0"/>
          <w:numId w:val="1031"/>
        </w:numPr>
      </w:pPr>
      <w:r>
        <w:t xml:space="preserve">Braintrust evaluation platform</w:t>
      </w:r>
    </w:p>
    <w:p>
      <w:pPr>
        <w:pStyle w:val="Compact"/>
        <w:numPr>
          <w:ilvl w:val="0"/>
          <w:numId w:val="1031"/>
        </w:numPr>
      </w:pPr>
      <w:r>
        <w:t xml:space="preserve">95%+ target performance across all evaluation metrics</w:t>
      </w:r>
    </w:p>
    <w:p>
      <w:pPr>
        <w:pStyle w:val="Compact"/>
        <w:numPr>
          <w:ilvl w:val="0"/>
          <w:numId w:val="1031"/>
        </w:numPr>
      </w:pPr>
      <w:r>
        <w:t xml:space="preserve">11 specialized scorers validating behavior</w:t>
      </w:r>
    </w:p>
    <w:p>
      <w:pPr>
        <w:pStyle w:val="Compact"/>
        <w:numPr>
          <w:ilvl w:val="0"/>
          <w:numId w:val="1031"/>
        </w:numPr>
      </w:pPr>
      <w:r>
        <w:t xml:space="preserve">Automated regression testing on every deployment</w:t>
      </w:r>
    </w:p>
    <w:p>
      <w:pPr>
        <w:pStyle w:val="FirstParagraph"/>
      </w:pPr>
      <w:r>
        <w:rPr>
          <w:b/>
          <w:bCs/>
        </w:rPr>
        <w:t xml:space="preserve">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Accuracy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Quality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Precision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Compliance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Readiness Confirmed</w:t>
      </w:r>
    </w:p>
    <w:p>
      <w:pPr>
        <w:pStyle w:val="Compact"/>
        <w:numPr>
          <w:ilvl w:val="0"/>
          <w:numId w:val="1032"/>
        </w:numPr>
      </w:pPr>
      <w:r>
        <w:t xml:space="preserve">All agents tested and validated</w:t>
      </w:r>
    </w:p>
    <w:p>
      <w:pPr>
        <w:pStyle w:val="Compact"/>
        <w:numPr>
          <w:ilvl w:val="0"/>
          <w:numId w:val="1032"/>
        </w:numPr>
      </w:pPr>
      <w:r>
        <w:t xml:space="preserve">Security controls verified</w:t>
      </w:r>
    </w:p>
    <w:p>
      <w:pPr>
        <w:pStyle w:val="Compact"/>
        <w:numPr>
          <w:ilvl w:val="0"/>
          <w:numId w:val="1032"/>
        </w:numPr>
      </w:pPr>
      <w:r>
        <w:t xml:space="preserve">Performance targets exceeded</w:t>
      </w:r>
    </w:p>
    <w:p>
      <w:pPr>
        <w:pStyle w:val="Compact"/>
        <w:numPr>
          <w:ilvl w:val="0"/>
          <w:numId w:val="1032"/>
        </w:numPr>
      </w:pPr>
      <w:r>
        <w:t xml:space="preserve">Ready for enterprise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Don’t evaluate MCMAP as a media planning solution.</w:t>
      </w:r>
    </w:p>
    <w:p>
      <w:pPr>
        <w:pStyle w:val="BodyText"/>
      </w:pPr>
      <w:r>
        <w:rPr>
          <w:b/>
          <w:bCs/>
        </w:rPr>
        <w:t xml:space="preserve">Evaluate it as enterprise AI infrastructure.</w:t>
      </w:r>
    </w:p>
    <w:p>
      <w:pPr>
        <w:pStyle w:val="BodyText"/>
      </w:pPr>
      <w:r>
        <w:rPr>
          <w:i/>
          <w:iCs/>
        </w:rPr>
        <w:t xml:space="preserve">The question isn’t whether we want a better media planning tool.</w:t>
      </w:r>
    </w:p>
    <w:p>
      <w:pPr>
        <w:pStyle w:val="BodyText"/>
      </w:pPr>
      <w:r>
        <w:rPr>
          <w:i/>
          <w:iCs/>
        </w:rPr>
        <w:t xml:space="preserve">The question is: Do we want to own the platform that transforms how enterprise AI agents are built, deployed, and monetized?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38"/>
    <w:bookmarkEnd w:id="39"/>
    <w:bookmarkEnd w:id="4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2026-01-26T03:43:15Z</dcterms:created>
  <dcterms:modified xsi:type="dcterms:W3CDTF">2026-01-26T03:43:15Z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