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7c546591edda33f19cc54b335e01bf2755011e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18"/>
    <w:bookmarkStart w:id="74" w:name="future-use-cases-strategic-opportunities"/>
    <w:p>
      <w:pPr>
        <w:pStyle w:val="Heading1"/>
      </w:pPr>
      <w:r>
        <w:t xml:space="preserve">FUTURE USE CASES &amp; STRATEGIC OPPORTUNITIES</w:t>
      </w:r>
    </w:p>
    <w:p>
      <w:r>
        <w:pict>
          <v:rect style="width:0;height:1.5pt" o:hralign="center" o:hrstd="t" o:hr="t"/>
        </w:pict>
      </w:r>
    </w:p>
    <w:bookmarkStart w:id="21" w:name="cover-sheet"/>
    <w:p>
      <w:pPr>
        <w:pStyle w:val="Heading2"/>
      </w:pPr>
      <w:r>
        <w:t xml:space="preserve">COVER SHEET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MCMAP Future Use Cases &amp; Strategic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24,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Executive Leadership, Strategy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Platform Development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9" w:name="document-purpose"/>
    <w:p>
      <w:pPr>
        <w:pStyle w:val="Heading3"/>
      </w:pPr>
      <w:r>
        <w:t xml:space="preserve">Document Purpose</w:t>
      </w:r>
    </w:p>
    <w:p>
      <w:pPr>
        <w:pStyle w:val="FirstParagraph"/>
      </w:pPr>
      <w:r>
        <w:t xml:space="preserve">This document outlines how MCMAP’s agentic AI architecture positions Mastercard to capture significant revenue opportunities across Advisors &amp; Consulting Services, Network/Payments, Analytics/Risk, Marketing/Loyalty, Data Services, and Internal Operations. Each use case explicitly identifies how AI agents drive the opportunity.</w:t>
      </w:r>
    </w:p>
    <w:bookmarkEnd w:id="19"/>
    <w:bookmarkStart w:id="20" w:name="intended-audience"/>
    <w:p>
      <w:pPr>
        <w:pStyle w:val="Heading3"/>
      </w:pPr>
      <w:r>
        <w:t xml:space="preserve">Intended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C-Suite Executives</w:t>
            </w:r>
          </w:p>
        </w:tc>
        <w:tc>
          <w:tcPr/>
          <w:p>
            <w:pPr>
              <w:pStyle w:val="Compact"/>
            </w:pPr>
            <w:r>
              <w:t xml:space="preserve">Revenue bands, strategic positioning, competitive moats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Unit Leaders</w:t>
            </w:r>
          </w:p>
        </w:tc>
        <w:tc>
          <w:tcPr/>
          <w:p>
            <w:pPr>
              <w:pStyle w:val="Compact"/>
            </w:pPr>
            <w:r>
              <w:t xml:space="preserve">Integration pathways, efficiency gains, time-to-value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&amp; Planning</w:t>
            </w:r>
          </w:p>
        </w:tc>
        <w:tc>
          <w:tcPr/>
          <w:p>
            <w:pPr>
              <w:pStyle w:val="Compact"/>
            </w:pPr>
            <w:r>
              <w:t xml:space="preserve">Roadmap alignment, investment priorities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a460b5d132faa5acf0d16f8f9c27974d0470e">
        <w:r>
          <w:rPr>
            <w:rStyle w:val="Hyperlink"/>
          </w:rPr>
          <w:t xml:space="preserve">MCMAP as Strategic Foundation</w:t>
        </w:r>
      </w:hyperlink>
    </w:p>
    <w:p>
      <w:pPr>
        <w:pStyle w:val="Compact"/>
        <w:numPr>
          <w:ilvl w:val="0"/>
          <w:numId w:val="1001"/>
        </w:numPr>
      </w:pPr>
      <w:hyperlink w:anchor="Xf984493e66ad287611ecb27c02b2f5f6c0ef70a">
        <w:r>
          <w:rPr>
            <w:rStyle w:val="Hyperlink"/>
          </w:rPr>
          <w:t xml:space="preserve">Top 10 Advisors &amp; Consulting Opportunities</w:t>
        </w:r>
      </w:hyperlink>
    </w:p>
    <w:p>
      <w:pPr>
        <w:pStyle w:val="Compact"/>
        <w:numPr>
          <w:ilvl w:val="0"/>
          <w:numId w:val="1001"/>
        </w:numPr>
      </w:pPr>
      <w:hyperlink w:anchor="Xdc36067853728abb1a32336ba1a53997e2ba72a">
        <w:r>
          <w:rPr>
            <w:rStyle w:val="Hyperlink"/>
          </w:rPr>
          <w:t xml:space="preserve">Network &amp; Payments Opportunities</w:t>
        </w:r>
      </w:hyperlink>
    </w:p>
    <w:p>
      <w:pPr>
        <w:pStyle w:val="Compact"/>
        <w:numPr>
          <w:ilvl w:val="0"/>
          <w:numId w:val="1001"/>
        </w:numPr>
      </w:pPr>
      <w:hyperlink w:anchor="X4fc9099c16e7288df1925a328530c8628f574eb">
        <w:r>
          <w:rPr>
            <w:rStyle w:val="Hyperlink"/>
          </w:rPr>
          <w:t xml:space="preserve">Analytics &amp; Risk Platform Opportunities</w:t>
        </w:r>
      </w:hyperlink>
    </w:p>
    <w:p>
      <w:pPr>
        <w:pStyle w:val="Compact"/>
        <w:numPr>
          <w:ilvl w:val="0"/>
          <w:numId w:val="1001"/>
        </w:numPr>
      </w:pPr>
      <w:hyperlink w:anchor="X3ec7690e1a64c11d6d9c0159d49deddf95ae0bc">
        <w:r>
          <w:rPr>
            <w:rStyle w:val="Hyperlink"/>
          </w:rPr>
          <w:t xml:space="preserve">Marketing, Advertising &amp; Loyalty Opportunities</w:t>
        </w:r>
      </w:hyperlink>
    </w:p>
    <w:p>
      <w:pPr>
        <w:pStyle w:val="Compact"/>
        <w:numPr>
          <w:ilvl w:val="0"/>
          <w:numId w:val="1001"/>
        </w:numPr>
      </w:pPr>
      <w:hyperlink w:anchor="X0787f14d0fd7686b872ba0aa80a60bda401b629">
        <w:r>
          <w:rPr>
            <w:rStyle w:val="Hyperlink"/>
          </w:rPr>
          <w:t xml:space="preserve">Data Services &amp; Open Banking Opportunities</w:t>
        </w:r>
      </w:hyperlink>
    </w:p>
    <w:p>
      <w:pPr>
        <w:pStyle w:val="Compact"/>
        <w:numPr>
          <w:ilvl w:val="0"/>
          <w:numId w:val="1001"/>
        </w:numPr>
      </w:pPr>
      <w:hyperlink w:anchor="X4fd666464d7f9cdaead539206ac211cdb85cbea">
        <w:r>
          <w:rPr>
            <w:rStyle w:val="Hyperlink"/>
          </w:rPr>
          <w:t xml:space="preserve">Internal Efficiency Opportunities</w:t>
        </w:r>
      </w:hyperlink>
    </w:p>
    <w:p>
      <w:pPr>
        <w:pStyle w:val="Compact"/>
        <w:numPr>
          <w:ilvl w:val="0"/>
          <w:numId w:val="1001"/>
        </w:numPr>
      </w:pPr>
      <w:hyperlink w:anchor="X6ab1ae1dd390dd7a983757a9fd8ca9e2b47f75c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34073b70ba3da35109f6d5916e244568c27135b">
        <w:r>
          <w:rPr>
            <w:rStyle w:val="Hyperlink"/>
          </w:rPr>
          <w:t xml:space="preserve">Strategic Summary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Start w:id="26" w:name="executive-summary"/>
    <w:p>
      <w:pPr>
        <w:pStyle w:val="Heading2"/>
      </w:pPr>
      <w:r>
        <w:t xml:space="preserve">1. EXECUTIVE SUMMARY</w:t>
      </w:r>
    </w:p>
    <w:bookmarkStart w:id="23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MCMAP demonstrates that enterprise AI agents can be built rapidly, deployed securely within Mastercard’s DLP-compliant environment, and deliver immediate business value. The same architectural patterns that power media planning can be extended to capture</w:t>
      </w:r>
      <w:r>
        <w:t xml:space="preserve"> </w:t>
      </w:r>
      <w:r>
        <w:rPr>
          <w:b/>
          <w:bCs/>
        </w:rPr>
        <w:t xml:space="preserve">significant revenue opportunity</w:t>
      </w:r>
      <w:r>
        <w:t xml:space="preserve"> </w:t>
      </w:r>
      <w:r>
        <w:t xml:space="preserve">across Mastercard’s service portfolio.</w:t>
      </w:r>
    </w:p>
    <w:bookmarkEnd w:id="23"/>
    <w:bookmarkStart w:id="24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MCMAP is not a media planning tool.</w:t>
      </w:r>
      <w:r>
        <w:t xml:space="preserve"> </w:t>
      </w:r>
      <w:r>
        <w:rPr>
          <w:b/>
          <w:bCs/>
        </w:rPr>
        <w:t xml:space="preserve">It is an enterprise AI platform</w:t>
      </w:r>
      <w:r>
        <w:t xml:space="preserve"> </w:t>
      </w:r>
      <w:r>
        <w:t xml:space="preserve">that transforms how Mastercard builds, deploys, and scales intelligent agents. Media planning is the first proof of concept - the architecture supports agents for fraud, treasury, marketing, consulting, sales enablement, and any domain where expertise can be encoded.</w:t>
      </w:r>
    </w:p>
    <w:bookmarkEnd w:id="24"/>
    <w:bookmarkStart w:id="25" w:name="revenue-impact-summary"/>
    <w:p>
      <w:pPr>
        <w:pStyle w:val="Heading3"/>
      </w:pPr>
      <w:r>
        <w:t xml:space="preserve">Revenue Impact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3670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MCMAP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 implementation practice, AI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Agentic commerce, cognitive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Autonomous fraud defense, risk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Commerce media, personalization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Start w:id="30" w:name="mcmap-as-strategic-foundation"/>
    <w:p>
      <w:pPr>
        <w:pStyle w:val="Heading2"/>
      </w:pPr>
      <w:r>
        <w:t xml:space="preserve">2. MCMAP AS STRATEGIC FOUNDATION</w:t>
      </w:r>
    </w:p>
    <w:bookmarkStart w:id="27" w:name="X92d9468ef694fac0e6da18c8c0bfafc594d09cf"/>
    <w:p>
      <w:pPr>
        <w:pStyle w:val="Heading3"/>
      </w:pPr>
      <w:r>
        <w:t xml:space="preserve">Why MCMAP Matters for These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MCMAP-Enabled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each AI solution from scratch</w:t>
            </w:r>
          </w:p>
        </w:tc>
        <w:tc>
          <w:tcPr/>
          <w:p>
            <w:pPr>
              <w:pStyle w:val="Compact"/>
            </w:pPr>
            <w:r>
              <w:t xml:space="preserve">Leverage proven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Months of security review per project</w:t>
            </w:r>
          </w:p>
        </w:tc>
        <w:tc>
          <w:tcPr/>
          <w:p>
            <w:pPr>
              <w:pStyle w:val="Compact"/>
            </w:pPr>
            <w:r>
              <w:t xml:space="preserve">Pre-approved, DLP-compliant by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point solutions</w:t>
            </w:r>
          </w:p>
        </w:tc>
        <w:tc>
          <w:tcPr/>
          <w:p>
            <w:pPr>
              <w:pStyle w:val="Compact"/>
            </w:pPr>
            <w:r>
              <w:t xml:space="preserve">Interconnected agent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cost per deployment</w:t>
            </w:r>
          </w:p>
        </w:tc>
        <w:tc>
          <w:tcPr/>
          <w:p>
            <w:pPr>
              <w:pStyle w:val="Compact"/>
            </w:pPr>
            <w:r>
              <w:t xml:space="preserve">Marginal cost decreases with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Siloed expertise</w:t>
            </w:r>
          </w:p>
        </w:tc>
        <w:tc>
          <w:tcPr/>
          <w:p>
            <w:pPr>
              <w:pStyle w:val="Compact"/>
            </w:pPr>
            <w:r>
              <w:t xml:space="preserve">Shared knowledge base architecture</w:t>
            </w:r>
          </w:p>
        </w:tc>
      </w:tr>
    </w:tbl>
    <w:bookmarkEnd w:id="27"/>
    <w:bookmarkStart w:id="28" w:name="architecture-advantages"/>
    <w:p>
      <w:pPr>
        <w:pStyle w:val="Heading3"/>
      </w:pPr>
      <w:r>
        <w:t xml:space="preserve">Architecture Advantages</w:t>
      </w:r>
    </w:p>
    <w:p>
      <w:pPr>
        <w:pStyle w:val="FirstParagraph"/>
      </w:pPr>
      <w:r>
        <w:t xml:space="preserve">The MCMAP Foundation provides:</w:t>
      </w:r>
    </w:p>
    <w:p>
      <w:pPr>
        <w:pStyle w:val="BodyText"/>
      </w:pPr>
      <w:r>
        <w:rPr>
          <w:b/>
          <w:bCs/>
        </w:rPr>
        <w:t xml:space="preserve">Proven Agent Infrastructure</w:t>
      </w:r>
      <w:r>
        <w:t xml:space="preserve"> </w:t>
      </w:r>
      <w:r>
        <w:t xml:space="preserve">- Orchestration (ORC)</w:t>
      </w:r>
      <w:r>
        <w:t xml:space="preserve"> </w:t>
      </w:r>
      <w:r>
        <w:t xml:space="preserve">- Capability Abstraction Layer</w:t>
      </w:r>
      <w:r>
        <w:t xml:space="preserve"> </w:t>
      </w:r>
      <w:r>
        <w:t xml:space="preserve">- Session &amp; Memory Management</w:t>
      </w:r>
      <w:r>
        <w:t xml:space="preserve"> </w:t>
      </w:r>
      <w:r>
        <w:t xml:space="preserve">- Security &amp; Compliance Controls</w:t>
      </w:r>
    </w:p>
    <w:p>
      <w:pPr>
        <w:pStyle w:val="BodyText"/>
      </w:pPr>
      <w:r>
        <w:rPr>
          <w:b/>
          <w:bCs/>
        </w:rPr>
        <w:t xml:space="preserve">Extensibility Patterns</w:t>
      </w:r>
      <w:r>
        <w:t xml:space="preserve"> </w:t>
      </w:r>
      <w:r>
        <w:t xml:space="preserve">- Configuration-driven expansion</w:t>
      </w:r>
      <w:r>
        <w:t xml:space="preserve"> </w:t>
      </w:r>
      <w:r>
        <w:t xml:space="preserve">- Knowledge base modularity</w:t>
      </w:r>
      <w:r>
        <w:t xml:space="preserve"> </w:t>
      </w:r>
      <w:r>
        <w:t xml:space="preserve">- AI Builder prompt templates</w:t>
      </w:r>
      <w:r>
        <w:t xml:space="preserve"> </w:t>
      </w:r>
      <w:r>
        <w:t xml:space="preserve">- Registry-based capabilities</w:t>
      </w:r>
    </w:p>
    <w:p>
      <w:pPr>
        <w:pStyle w:val="BodyText"/>
      </w:pPr>
      <w:r>
        <w:rPr>
          <w:b/>
          <w:bCs/>
        </w:rPr>
        <w:t xml:space="preserve">Enterprise Readiness</w:t>
      </w:r>
      <w:r>
        <w:t xml:space="preserve"> </w:t>
      </w:r>
      <w:r>
        <w:t xml:space="preserve">- DLP-compliant connectors</w:t>
      </w:r>
      <w:r>
        <w:t xml:space="preserve"> </w:t>
      </w:r>
      <w:r>
        <w:t xml:space="preserve">- Azure AD authentication</w:t>
      </w:r>
      <w:r>
        <w:t xml:space="preserve"> </w:t>
      </w:r>
      <w:r>
        <w:t xml:space="preserve">- Audit logging &amp; telemetry</w:t>
      </w:r>
      <w:r>
        <w:t xml:space="preserve"> </w:t>
      </w:r>
      <w:r>
        <w:t xml:space="preserve">- Multi-environment support</w:t>
      </w:r>
    </w:p>
    <w:bookmarkEnd w:id="28"/>
    <w:bookmarkStart w:id="29" w:name="the-agent-factory-model"/>
    <w:p>
      <w:pPr>
        <w:pStyle w:val="Heading3"/>
      </w:pPr>
      <w:r>
        <w:t xml:space="preserve">The</w:t>
      </w:r>
      <w:r>
        <w:t xml:space="preserve"> </w:t>
      </w:r>
      <w:r>
        <w:t xml:space="preserve">“Agent Factory”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MCMAP transforms Mastercard from building individual AI solutions to operating an</w:t>
      </w:r>
      <w:r>
        <w:t xml:space="preserve"> </w:t>
      </w:r>
      <w:r>
        <w:rPr>
          <w:b/>
          <w:bCs/>
        </w:rPr>
        <w:t xml:space="preserve">agent factory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Once</w:t>
      </w:r>
      <w:r>
        <w:t xml:space="preserve">: Core infrastructure serves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 Many</w:t>
      </w:r>
      <w:r>
        <w:t xml:space="preserve">: Each new agent leverages existing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Efficiently</w:t>
      </w:r>
      <w:r>
        <w:t xml:space="preserve">: Marginal cost decreases per 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 Centrally</w:t>
      </w:r>
      <w:r>
        <w:t xml:space="preserve">: Updates propagate across all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 Consistently</w:t>
      </w:r>
      <w:r>
        <w:t xml:space="preserve">: Security and compliance built in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End w:id="30"/>
    <w:bookmarkStart w:id="41" w:name="top-10-advisors-consulting-opportunities"/>
    <w:p>
      <w:pPr>
        <w:pStyle w:val="Heading2"/>
      </w:pPr>
      <w:r>
        <w:t xml:space="preserve">3. TOP 10 ADVISORS &amp; CONSULTING OPPORTUNITIES</w:t>
      </w:r>
    </w:p>
    <w:bookmarkStart w:id="31" w:name="X772a39bbcd0eebd72664fa3a47cabc9aa5479fa"/>
    <w:p>
      <w:pPr>
        <w:pStyle w:val="Heading3"/>
      </w:pPr>
      <w:r>
        <w:t xml:space="preserve">3.1 AI Agent Implementation &amp; Transformation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lead clients through identifying, designing, and deploying agents (fraud, CX, ops, marketing) on top of Mastercard platforms, turning scattered use cases into an integrated agentic operating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MCMAP provides the reference architecture and proven patterns that advisors bring to clients</w:t>
            </w:r>
          </w:p>
        </w:tc>
      </w:tr>
    </w:tbl>
    <w:bookmarkEnd w:id="31"/>
    <w:bookmarkStart w:id="32" w:name="Xe1a3333ba4711d9a7f73e89226ec26303334291"/>
    <w:p>
      <w:pPr>
        <w:pStyle w:val="Heading3"/>
      </w:pPr>
      <w:r>
        <w:t xml:space="preserve">3.2 AI &amp; Advanced Analytics Consulting (Data Strategy + AI Ops)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define data foundations and MLOps patterns so clients can safely run large fleets of agents (risk agents, personalization agents) and keep models updated and governed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EAP shared infrastructure demonstrates enterprise-grade MLOps patterns</w:t>
            </w:r>
          </w:p>
        </w:tc>
      </w:tr>
    </w:tbl>
    <w:bookmarkEnd w:id="32"/>
    <w:bookmarkStart w:id="33" w:name="X949c11394cb38b858b78979f24beb6daf0aa4fb"/>
    <w:p>
      <w:pPr>
        <w:pStyle w:val="Heading3"/>
      </w:pPr>
      <w:r>
        <w:t xml:space="preserve">3.3 Commerce Media &amp; Data Monetization Strategy Consulting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AI-driven audience models, bidding/optimization agents, and closed-loop measurement based on Mastercard Commerce Media and transaction data, turning banks/retailers into media businesses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agent patterns for segmentation; ANL for measurement</w:t>
            </w:r>
          </w:p>
        </w:tc>
      </w:tr>
    </w:tbl>
    <w:bookmarkEnd w:id="33"/>
    <w:bookmarkStart w:id="34" w:name="X7544190279d00987203a1d3410e918a420a9f42"/>
    <w:p>
      <w:pPr>
        <w:pStyle w:val="Heading3"/>
      </w:pPr>
      <w:r>
        <w:t xml:space="preserve">3.4 Issuer &amp; Acquirer Portfolio Optimization (Test &amp; Learn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automatically design and run Test &amp; Learn experiments on pricing, rewards, and product constructs, continuously suggesting new tests and portfolio changes that maximize profit per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PRF agent provides attribution and testing patterns</w:t>
            </w:r>
          </w:p>
        </w:tc>
      </w:tr>
    </w:tbl>
    <w:bookmarkEnd w:id="34"/>
    <w:bookmarkStart w:id="35" w:name="Xab4876c5788227076138c210861f9a7fecf323f"/>
    <w:p>
      <w:pPr>
        <w:pStyle w:val="Heading3"/>
      </w:pPr>
      <w:r>
        <w:t xml:space="preserve">3.5 AI-Powered Marketing &amp; Loyalty Strategy (Dynamic Yield + SessionM)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help clients deploy personalization and loyalty agents that decide</w:t>
            </w:r>
            <w:r>
              <w:t xml:space="preserve"> </w:t>
            </w:r>
            <w:r>
              <w:t xml:space="preserve">“who gets what offer, when, and on which channel,”</w:t>
            </w:r>
            <w:r>
              <w:t xml:space="preserve"> </w:t>
            </w:r>
            <w:r>
              <w:t xml:space="preserve">optimizing CLV using real-time behavior and Mastercard spend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AUD + CHA agents demonstrate channel optimization patterns</w:t>
            </w:r>
          </w:p>
        </w:tc>
      </w:tr>
    </w:tbl>
    <w:bookmarkEnd w:id="35"/>
    <w:bookmarkStart w:id="36" w:name="X3dd200094999696d778bbb4144861fc0960ee3b"/>
    <w:p>
      <w:pPr>
        <w:pStyle w:val="Heading3"/>
      </w:pPr>
      <w:r>
        <w:t xml:space="preserve">3.6 AI Fraud, Cyber &amp; Risk Consulting (Decision Intelligence)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re-architect fraud programs around autonomous risk agents that score transactions, predict compromise, and triage cases, turning static rules into continuously learning defenses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Agent collaboration patterns; real-time decision architecture</w:t>
            </w:r>
          </w:p>
        </w:tc>
      </w:tr>
    </w:tbl>
    <w:bookmarkEnd w:id="36"/>
    <w:bookmarkStart w:id="37" w:name="Xdb8d27f46a0a5392a395c89779d4dda199d8b7e"/>
    <w:p>
      <w:pPr>
        <w:pStyle w:val="Heading3"/>
      </w:pPr>
      <w:r>
        <w:t xml:space="preserve">3.7 Open Banking &amp; Data Collaboration Strategy (Finicity + Clean Rooms)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design agent workflows that pull open-banking data, analyze cash-flow, and trigger credit/underwriting or payment decisions, while other agents manage secure, privacy-preserving data collaboration in clean rooms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session isolation patterns</w:t>
            </w:r>
          </w:p>
        </w:tc>
      </w:tr>
    </w:tbl>
    <w:bookmarkEnd w:id="37"/>
    <w:bookmarkStart w:id="38" w:name="X333b3af6fe480e81629d892d995ef588f9126af"/>
    <w:p>
      <w:pPr>
        <w:pStyle w:val="Heading3"/>
      </w:pPr>
      <w:r>
        <w:t xml:space="preserve">3.8 Economics &amp; Scenario Consulting (Economics Institute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combine Mastercard spend data with macro models to continuously produce</w:t>
            </w:r>
            <w:r>
              <w:t xml:space="preserve"> </w:t>
            </w:r>
            <w:r>
              <w:t xml:space="preserve">“what-if”</w:t>
            </w:r>
            <w:r>
              <w:t xml:space="preserve"> </w:t>
            </w:r>
            <w:r>
              <w:t xml:space="preserve">portfolio and market outlooks for clients, rather than occasional static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ANL agent scenario modeling capabilities</w:t>
            </w:r>
          </w:p>
        </w:tc>
      </w:tr>
    </w:tbl>
    <w:bookmarkEnd w:id="38"/>
    <w:bookmarkStart w:id="39" w:name="Xd6f41efac345821c6cc9030ff92632df0055b9c"/>
    <w:p>
      <w:pPr>
        <w:pStyle w:val="Heading3"/>
      </w:pPr>
      <w:r>
        <w:t xml:space="preserve">3.9 Digital Labs &amp; Agentic Co-Creation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with expansion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Clients co-design new agentic products (SME cash-flow coach agents, travel booking agents) in Mastercard labs; prototype agents show value quickly and then scale via Mastercard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Rapid agent development patterns; shared orchestration</w:t>
            </w:r>
          </w:p>
        </w:tc>
      </w:tr>
    </w:tbl>
    <w:bookmarkEnd w:id="39"/>
    <w:bookmarkStart w:id="40" w:name="Xd44ca870cf81eb9d2887c8670c9435c40f978eb"/>
    <w:p>
      <w:pPr>
        <w:pStyle w:val="Heading3"/>
      </w:pPr>
      <w:r>
        <w:t xml:space="preserve">3.10 Data Strategy &amp; Management Advisory (Agent-Ready Data Foundations)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Advisors restructure client data (models, governance, lineage) specifically so agents can safely read/write across systems, enforcing policies via data-access agents instead of manual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Connection</w:t>
            </w:r>
          </w:p>
        </w:tc>
        <w:tc>
          <w:tcPr/>
          <w:p>
            <w:pPr>
              <w:pStyle w:val="Compact"/>
            </w:pPr>
            <w:r>
              <w:t xml:space="preserve">Data provenance framework; Dataverse patterns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5" w:name="network-payments-opportunities"/>
    <w:p>
      <w:pPr>
        <w:pStyle w:val="Heading2"/>
      </w:pPr>
      <w:r>
        <w:t xml:space="preserve">4. NETWORK &amp; PAYMENTS OPPORTUNITIES</w:t>
      </w:r>
    </w:p>
    <w:bookmarkStart w:id="42" w:name="agent-pay-agentic-commerce-suite"/>
    <w:p>
      <w:pPr>
        <w:pStyle w:val="Heading3"/>
      </w:pPr>
      <w:r>
        <w:t xml:space="preserve">4.1 Agent Pay / Agentic Commerce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High-1B+/year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Payment agents verify intent, authenticate themselves, and orchestrate tokenized transactions on behalf of consumers and businesses, creating a standard way for agents to</w:t>
            </w:r>
            <w:r>
              <w:t xml:space="preserve"> </w:t>
            </w:r>
            <w:r>
              <w:t xml:space="preserve">“pay”</w:t>
            </w:r>
            <w:r>
              <w:t xml:space="preserve"> </w:t>
            </w:r>
            <w:r>
              <w:t xml:space="preserve">over Mastercard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Authentication and session patterns; secure state management</w:t>
            </w:r>
          </w:p>
        </w:tc>
      </w:tr>
    </w:tbl>
    <w:bookmarkEnd w:id="42"/>
    <w:bookmarkStart w:id="43" w:name="cognitive-payment-director"/>
    <w:p>
      <w:pPr>
        <w:pStyle w:val="Heading3"/>
      </w:pPr>
      <w:r>
        <w:t xml:space="preserve">4.2 Cognitive Payment Director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Routing and decision agents evaluate each authorization in real time, choosing the route, message structure, and retry strategy that maximizes approval probability at lowest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capability dispatcher</w:t>
            </w:r>
          </w:p>
        </w:tc>
      </w:tr>
    </w:tbl>
    <w:bookmarkEnd w:id="43"/>
    <w:bookmarkStart w:id="44" w:name="X918082186b3326d0613251191fb90781cc70e62"/>
    <w:p>
      <w:pPr>
        <w:pStyle w:val="Heading3"/>
      </w:pPr>
      <w:r>
        <w:t xml:space="preserve">4.3 Autonomous Treasury &amp; Cross-Border Agents (Move)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Treasury agents monitor flows, FX, and balances continuously, scheduling payments and currency conversion to minimize cost and ensure liquidity without human intervention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Autonomous agent patterns; continuous monitoring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4"/>
    <w:bookmarkEnd w:id="45"/>
    <w:bookmarkStart w:id="49" w:name="analytics-risk-platform-opportunities"/>
    <w:p>
      <w:pPr>
        <w:pStyle w:val="Heading2"/>
      </w:pPr>
      <w:r>
        <w:t xml:space="preserve">5. ANALYTICS &amp; RISK PLATFORM OPPORTUNITIES</w:t>
      </w:r>
    </w:p>
    <w:bookmarkStart w:id="46" w:name="autonomous-fraud-defense-platform"/>
    <w:p>
      <w:pPr>
        <w:pStyle w:val="Heading3"/>
      </w:pPr>
      <w:r>
        <w:t xml:space="preserve">5.1 Autonomous Fraud Defense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Band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Fraud agents score transactions, predict compromised credentials, monitor merchants, and even gather evidence for investigations; they continuously retrain on new fraud patterns from network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Multi-agent collaboration; knowledge base updates</w:t>
            </w:r>
          </w:p>
        </w:tc>
      </w:tr>
    </w:tbl>
    <w:bookmarkEnd w:id="46"/>
    <w:bookmarkStart w:id="47" w:name="brighterion-multi-sector-risk-agents"/>
    <w:p>
      <w:pPr>
        <w:pStyle w:val="Heading3"/>
      </w:pPr>
      <w:r>
        <w:t xml:space="preserve">5.2 Brighterion Multi-Sector Risk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Domain-specific risk agents (credit, AML, healthcare) learn individual and network patterns to predict default, suspicious activity, and abuse, feeding decisions into client systems in near real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Vertical-specific agent patterns; industry knowledge bases</w:t>
            </w:r>
          </w:p>
        </w:tc>
      </w:tr>
    </w:tbl>
    <w:bookmarkEnd w:id="47"/>
    <w:bookmarkStart w:id="48" w:name="test-learn-agent-suite"/>
    <w:p>
      <w:pPr>
        <w:pStyle w:val="Heading3"/>
      </w:pPr>
      <w:r>
        <w:t xml:space="preserve">5.3 Test &amp; Learn Agent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Experiment agents translate business questions into tests, pick control/treatment, monitor KPIs, and return recommended actions, effectively running a continuous experimentation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PRF agent attribution patterns; ANL statistical capabilities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8"/>
    <w:bookmarkEnd w:id="49"/>
    <w:bookmarkStart w:id="57" w:name="X9064b4e3faba2b029376d86e9b362280c418ebb"/>
    <w:p>
      <w:pPr>
        <w:pStyle w:val="Heading2"/>
      </w:pPr>
      <w:r>
        <w:t xml:space="preserve">6. MARKETING, ADVERTISING &amp; LOYALTY OPPORTUNITIES</w:t>
      </w:r>
    </w:p>
    <w:bookmarkStart w:id="50" w:name="commerce-media-intelligence-network"/>
    <w:p>
      <w:pPr>
        <w:pStyle w:val="Heading3"/>
      </w:pPr>
      <w:r>
        <w:t xml:space="preserve">6.1 Commerce Media Intelligence &amp;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Audience, bidding, and attribution agents decide which users to target, how much to bid, and how to reallocate budget based on actual purchase outcomes on the Mastercard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segmentation; CHA channel optimization; ANL measurement</w:t>
            </w:r>
          </w:p>
        </w:tc>
      </w:tr>
    </w:tbl>
    <w:bookmarkEnd w:id="50"/>
    <w:bookmarkStart w:id="51" w:name="dynamic-yield-agentic-personalization"/>
    <w:p>
      <w:pPr>
        <w:pStyle w:val="Heading3"/>
      </w:pPr>
      <w:r>
        <w:t xml:space="preserve">6.2 Dynamic Yield Agentic Personalization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Real-time agents pick content, offers, and products per user and per session, using transaction and behavioral data; they also auto-run experiments and promote winning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Real-time decision patterns; A/B testing framework</w:t>
            </w:r>
          </w:p>
        </w:tc>
      </w:tr>
    </w:tbl>
    <w:bookmarkEnd w:id="51"/>
    <w:bookmarkStart w:id="52" w:name="Xbe9cc0ec05d43e3db9da9442c52bd08d37904f0"/>
    <w:p>
      <w:pPr>
        <w:pStyle w:val="Heading3"/>
      </w:pPr>
      <w:r>
        <w:t xml:space="preserve">6.3 Unified Marketing OS (DY + SessionM + Commerce Media + T&amp;L)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High+/year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Orchestration agents coordinate decisions across personalization, loyalty, and media in one brain - optimizing at the customer level instead of per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ORC orchestration patterns; cross-agent collaboration</w:t>
            </w:r>
          </w:p>
        </w:tc>
      </w:tr>
    </w:tbl>
    <w:bookmarkEnd w:id="52"/>
    <w:bookmarkStart w:id="53" w:name="Xa2681adc2126dcad36490ffe64ab22340a275ae"/>
    <w:p>
      <w:pPr>
        <w:pStyle w:val="Heading3"/>
      </w:pPr>
      <w:r>
        <w:t xml:space="preserve">6.4 Marketing Services Automation (Agent-Augmented Managed 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 incremental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Campaign agents build segments, creatives, and schedules, while optimization agents monitor and adjust campaigns, letting human consultants focus on strategy and 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document generation; AUD segmentation</w:t>
            </w:r>
          </w:p>
        </w:tc>
      </w:tr>
    </w:tbl>
    <w:bookmarkEnd w:id="53"/>
    <w:bookmarkStart w:id="54" w:name="audience-segmentation-platform"/>
    <w:p>
      <w:pPr>
        <w:pStyle w:val="Heading3"/>
      </w:pPr>
      <w:r>
        <w:t xml:space="preserve">6.5 Audience &amp; Segmentation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Segmentation agents learn fine-grained spending patterns, generate and refresh in-market audiences, and push them to ad platforms without exposing raw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AUD agent patterns; privacy-preserving design</w:t>
            </w:r>
          </w:p>
        </w:tc>
      </w:tr>
    </w:tbl>
    <w:bookmarkEnd w:id="54"/>
    <w:bookmarkStart w:id="55" w:name="loyalty-optimizer-agentic-retention"/>
    <w:p>
      <w:pPr>
        <w:pStyle w:val="Heading3"/>
      </w:pPr>
      <w:r>
        <w:t xml:space="preserve">6.6 Loyalty Optimizer &amp; Agentic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Retention agents detect churn risk early and automatically choose which incentive (or intervention) to offer each customer to maximize lifetime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LTV modeling; proactive intelligence patterns</w:t>
            </w:r>
          </w:p>
        </w:tc>
      </w:tr>
    </w:tbl>
    <w:bookmarkEnd w:id="55"/>
    <w:bookmarkStart w:id="56" w:name="clean-room-collaboration-services"/>
    <w:p>
      <w:pPr>
        <w:pStyle w:val="Heading3"/>
      </w:pPr>
      <w:r>
        <w:t xml:space="preserve">6.7 Clean Room Collaboration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manage matching, run privacy-safe queries, and generate aggregated insights inside the clean room, so humans don’t need to hand-craft every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Data provenance; secure computation patterns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End w:id="57"/>
    <w:bookmarkStart w:id="62" w:name="data-services-open-banking-opportunities"/>
    <w:p>
      <w:pPr>
        <w:pStyle w:val="Heading2"/>
      </w:pPr>
      <w:r>
        <w:t xml:space="preserve">7. DATA SERVICES &amp; OPEN BANKING OPPORTUNITIES</w:t>
      </w:r>
    </w:p>
    <w:bookmarkStart w:id="58" w:name="X50e9d1913ae484549fd36a5753ba36c0ec3dd98"/>
    <w:p>
      <w:pPr>
        <w:pStyle w:val="Heading3"/>
      </w:pPr>
      <w:r>
        <w:t xml:space="preserve">7.1 SpendingPulse Conversational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Insight agents sit over SpendingPulse and answer natural-language questions, build charts, and explain trends, rather than clients hiring analysts to mine the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Conversational patterns; knowledge retrieval</w:t>
            </w:r>
          </w:p>
        </w:tc>
      </w:tr>
    </w:tbl>
    <w:bookmarkEnd w:id="58"/>
    <w:bookmarkStart w:id="59" w:name="X61915ab33e588a4e3b265aaa73f178efa515dcf"/>
    <w:p>
      <w:pPr>
        <w:pStyle w:val="Heading3"/>
      </w:pPr>
      <w:r>
        <w:t xml:space="preserve">7.2 Open Banking Orchestration (Finicity + Agents)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Data agents manage consent, pull bank data, and analyze cash-flow to drive instant credit, KYC, or payment decisions without manual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Session management; secure data handling</w:t>
            </w:r>
          </w:p>
        </w:tc>
      </w:tr>
    </w:tbl>
    <w:bookmarkEnd w:id="59"/>
    <w:bookmarkStart w:id="60" w:name="Xd6ec3f8b4d2098feb4befe2700264212c34237c"/>
    <w:p>
      <w:pPr>
        <w:pStyle w:val="Heading3"/>
      </w:pPr>
      <w:r>
        <w:t xml:space="preserve">7.3 Consumer &amp; Merchant Data APIs (Agent-Exposed Insights)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Embedded agents turn raw Mastercard data into ready-to-use signals (risk scores, propensity scores) that client systems can call via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Capability abstraction; standardized outputs</w:t>
            </w:r>
          </w:p>
        </w:tc>
      </w:tr>
    </w:tbl>
    <w:bookmarkEnd w:id="60"/>
    <w:bookmarkStart w:id="61" w:name="X9470b844d3e282ac2ae7c04cfbddba5ec7a022d"/>
    <w:p>
      <w:pPr>
        <w:pStyle w:val="Heading3"/>
      </w:pPr>
      <w:r>
        <w:t xml:space="preserve">7.4 Economic Intelligence Platform &amp; Scenario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Opportunity Scale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Scenario agents continuously update forecasts and stress tests using live spend data and external macro inputs, instead of periodic manual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ANL scenario capabilities; continuous refresh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1"/>
    <w:bookmarkEnd w:id="62"/>
    <w:bookmarkStart w:id="65" w:name="internal-efficiency-opportunities"/>
    <w:p>
      <w:pPr>
        <w:pStyle w:val="Heading2"/>
      </w:pPr>
      <w:r>
        <w:t xml:space="preserve">8. INTERNAL EFFICIENCY OPPORTUNITIES</w:t>
      </w:r>
    </w:p>
    <w:bookmarkStart w:id="63" w:name="sales-intelligence-proposal-agents"/>
    <w:p>
      <w:pPr>
        <w:pStyle w:val="Heading3"/>
      </w:pPr>
      <w:r>
        <w:t xml:space="preserve">8.1 Sales Intelligence &amp; Proposal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Supports High incremental/retained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Agents watch account behavior, suggest next products to pitch, and generate tailored decks/RFP responses, raising hit rates per seller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DOC agent generation; MKT competitive intelligence</w:t>
            </w:r>
          </w:p>
        </w:tc>
      </w:tr>
    </w:tbl>
    <w:bookmarkEnd w:id="63"/>
    <w:bookmarkStart w:id="64" w:name="X6f4b5bb7aba9390e67a2ce31f745d4dbaadf3f1"/>
    <w:p>
      <w:pPr>
        <w:pStyle w:val="Heading3"/>
      </w:pPr>
      <w:r>
        <w:t xml:space="preserve">8.2 Enterprise-Wide Internal Agents (Ops, Finance, HR, Compliance)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equivalent savings/capacity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Impact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AI Drives It</w:t>
            </w:r>
          </w:p>
        </w:tc>
        <w:tc>
          <w:tcPr/>
          <w:p>
            <w:pPr>
              <w:pStyle w:val="Compact"/>
            </w:pPr>
            <w:r>
              <w:t xml:space="preserve">Back-office agents process invoices, reconcile data, screen sanctions, and handle routine HR/IT requests, shrinking cycle times and manual effort across the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Enabler</w:t>
            </w:r>
          </w:p>
        </w:tc>
        <w:tc>
          <w:tcPr/>
          <w:p>
            <w:pPr>
              <w:pStyle w:val="Compact"/>
            </w:pPr>
            <w:r>
              <w:t xml:space="preserve">Agent factory model; shared infrastructure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4"/>
    <w:bookmarkEnd w:id="65"/>
    <w:bookmarkStart w:id="69" w:name="implementation-roadmap"/>
    <w:p>
      <w:pPr>
        <w:pStyle w:val="Heading2"/>
      </w:pPr>
      <w:r>
        <w:t xml:space="preserve">9. IMPLEMENTATION ROADMAP</w:t>
      </w:r>
    </w:p>
    <w:bookmarkStart w:id="66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MCMAP to Advisors</w:t>
            </w:r>
          </w:p>
        </w:tc>
        <w:tc>
          <w:tcPr/>
          <w:p>
            <w:pPr>
              <w:pStyle w:val="Compact"/>
            </w:pPr>
            <w:r>
              <w:t xml:space="preserve">CST, CHG agents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Agent Pilot</w:t>
            </w:r>
          </w:p>
        </w:tc>
        <w:tc>
          <w:tcPr/>
          <w:p>
            <w:pPr>
              <w:pStyle w:val="Compact"/>
            </w:pPr>
            <w:r>
              <w:t xml:space="preserve">New agent on ORC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Sales Agent</w:t>
            </w:r>
          </w:p>
        </w:tc>
        <w:tc>
          <w:tcPr/>
          <w:p>
            <w:pPr>
              <w:pStyle w:val="Compact"/>
            </w:pPr>
            <w:r>
              <w:t xml:space="preserve">DOC + MKT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66"/>
    <w:bookmarkStart w:id="67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 Integration</w:t>
            </w:r>
          </w:p>
        </w:tc>
        <w:tc>
          <w:tcPr/>
          <w:p>
            <w:pPr>
              <w:pStyle w:val="Compact"/>
            </w:pPr>
            <w:r>
              <w:t xml:space="preserve">AUD + CHA expansion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Agent Prototype</w:t>
            </w:r>
          </w:p>
        </w:tc>
        <w:tc>
          <w:tcPr/>
          <w:p>
            <w:pPr>
              <w:pStyle w:val="Compact"/>
            </w:pPr>
            <w:r>
              <w:t xml:space="preserve">New agent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 Suite</w:t>
            </w:r>
          </w:p>
        </w:tc>
        <w:tc>
          <w:tcPr/>
          <w:p>
            <w:pPr>
              <w:pStyle w:val="Compact"/>
            </w:pPr>
            <w:r>
              <w:t xml:space="preserve">Full MPA domain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67"/>
    <w:bookmarkStart w:id="68" w:name="phase-3-transform-2027"/>
    <w:p>
      <w:pPr>
        <w:pStyle w:val="Heading3"/>
      </w:pPr>
      <w:r>
        <w:t xml:space="preserve">Phase 3: Transform (2027)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MCMAP 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Pay Framework</w:t>
            </w:r>
          </w:p>
        </w:tc>
        <w:tc>
          <w:tcPr/>
          <w:p>
            <w:pPr>
              <w:pStyle w:val="Compact"/>
            </w:pPr>
            <w:r>
              <w:t xml:space="preserve">New capability layer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Marketing OS</w:t>
            </w:r>
          </w:p>
        </w:tc>
        <w:tc>
          <w:tcPr/>
          <w:p>
            <w:pPr>
              <w:pStyle w:val="Compact"/>
            </w:pPr>
            <w:r>
              <w:t xml:space="preserve">Cross-agent orchestration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Agent Factory</w:t>
            </w:r>
          </w:p>
        </w:tc>
        <w:tc>
          <w:tcPr/>
          <w:p>
            <w:pPr>
              <w:pStyle w:val="Compact"/>
            </w:pPr>
            <w:r>
              <w:t xml:space="preserve">White-label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68"/>
    <w:bookmarkEnd w:id="69"/>
    <w:bookmarkStart w:id="73" w:name="strategic-summary"/>
    <w:p>
      <w:pPr>
        <w:pStyle w:val="Heading2"/>
      </w:pPr>
      <w:r>
        <w:t xml:space="preserve">10. STRATEGIC SUMMARY</w:t>
      </w:r>
    </w:p>
    <w:bookmarkStart w:id="70" w:name="total-addressable-opportunity"/>
    <w:p>
      <w:pPr>
        <w:pStyle w:val="Heading3"/>
      </w:pPr>
      <w:r>
        <w:t xml:space="preserve">Total Addressable Opportunity</w:t>
      </w:r>
    </w:p>
    <w:p>
      <w:pPr>
        <w:pStyle w:val="FirstParagraph"/>
      </w:pPr>
      <w:r>
        <w:t xml:space="preserve">MCMAP creates significant revenue potential across all categories through the agent factory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2950"/>
        <w:gridCol w:w="3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Opportunity Level</w:t>
            </w:r>
          </w:p>
        </w:tc>
        <w:tc>
          <w:tcPr/>
          <w:p>
            <w:pPr>
              <w:pStyle w:val="Compact"/>
            </w:pPr>
            <w:r>
              <w:t xml:space="preserve">Primary Value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AI implementation practice, transformation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Agentic commerce, cognitive payment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Autonomous fraud defense, continuous risk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Commerce media, unified personalization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banking orchestration, insight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Ops automation, sales enablement</w:t>
            </w:r>
          </w:p>
        </w:tc>
      </w:tr>
    </w:tbl>
    <w:bookmarkEnd w:id="70"/>
    <w:bookmarkStart w:id="71" w:name="mcmap-platform-leverage"/>
    <w:p>
      <w:pPr>
        <w:pStyle w:val="Heading3"/>
      </w:pPr>
      <w:r>
        <w:t xml:space="preserve">MCMAP Platform Leverage</w:t>
      </w:r>
    </w:p>
    <w:p>
      <w:pPr>
        <w:pStyle w:val="FirstParagraph"/>
      </w:pPr>
      <w:r>
        <w:t xml:space="preserve">The platform architecture creates compounding value: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88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Investment Characteristic</w:t>
            </w:r>
          </w:p>
        </w:tc>
        <w:tc>
          <w:tcPr/>
          <w:p>
            <w:pPr>
              <w:pStyle w:val="Compact"/>
            </w:pPr>
            <w:r>
              <w:t xml:space="preserve">MCMAP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Already Built</w:t>
            </w:r>
          </w:p>
        </w:tc>
        <w:tc>
          <w:tcPr/>
          <w:p>
            <w:pPr>
              <w:pStyle w:val="Compact"/>
            </w:pPr>
            <w:r>
              <w:t xml:space="preserve">Core infrastructure ready for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 Decreasing</w:t>
            </w:r>
          </w:p>
        </w:tc>
        <w:tc>
          <w:tcPr/>
          <w:p>
            <w:pPr>
              <w:pStyle w:val="Compact"/>
            </w:pPr>
            <w:r>
              <w:t xml:space="preserve">Each new agent leverages existing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Infrastructure</w:t>
            </w:r>
          </w:p>
        </w:tc>
        <w:tc>
          <w:tcPr/>
          <w:p>
            <w:pPr>
              <w:pStyle w:val="Compact"/>
            </w:pPr>
            <w:r>
              <w:t xml:space="preserve">Enterprise scale achieved with minimal incremental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Pre-Approved</w:t>
            </w:r>
          </w:p>
        </w:tc>
        <w:tc>
          <w:tcPr/>
          <w:p>
            <w:pPr>
              <w:pStyle w:val="Compact"/>
            </w:pPr>
            <w:r>
              <w:t xml:space="preserve">DLP compliance inherited by all new agents</w:t>
            </w:r>
          </w:p>
        </w:tc>
      </w:tr>
    </w:tbl>
    <w:bookmarkEnd w:id="71"/>
    <w:bookmarkStart w:id="72" w:name="the-strategic-imperative"/>
    <w:p>
      <w:pPr>
        <w:pStyle w:val="Heading3"/>
      </w:pPr>
      <w:r>
        <w:t xml:space="preserve">The Strategic Imperative</w:t>
      </w:r>
    </w:p>
    <w:p>
      <w:pPr>
        <w:pStyle w:val="BlockText"/>
      </w:pPr>
      <w:r>
        <w:t xml:space="preserve">“Don’t evaluate MCMAP as a media planning solution. Evaluate it as</w:t>
      </w:r>
      <w:r>
        <w:t xml:space="preserve"> </w:t>
      </w:r>
      <w:r>
        <w:rPr>
          <w:b/>
          <w:bCs/>
        </w:rPr>
        <w:t xml:space="preserve">enterprise AI infrastructure</w:t>
      </w:r>
      <w:r>
        <w:t xml:space="preserve">. The question isn’t whether we want a better media planning tool. The question is: Do we want to own the platform that transforms how enterprise AI agents are built, deployed, and monetized?”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72"/>
    <w:bookmarkEnd w:id="73"/>
    <w:bookmarkEnd w:id="74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2026-01-26T03:43:16Z</dcterms:created>
  <dcterms:modified xsi:type="dcterms:W3CDTF">2026-01-26T03:43:16Z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