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4F72"/>
          <w:sz w:val="56"/>
          <w:szCs w:val="56"/>
        </w:rPr>
        <w:t xml:space="preserve">MASTERCARD AGENT PLATFORM</w:t>
      </w:r>
    </w:p>
    <w:p>
      <w:pPr>
        <w:spacing w:before="200"/>
      </w:pPr>
    </w:p>
    <w:p>
      <w:pPr>
        <w:jc w:val="center"/>
      </w:pPr>
      <w:r>
        <w:rPr>
          <w:color w:val="2471A3"/>
          <w:sz w:val="36"/>
          <w:szCs w:val="36"/>
        </w:rPr>
        <w:t xml:space="preserve">Technical Documentation Package</w:t>
      </w:r>
    </w:p>
    <w:p>
      <w:pPr>
        <w:spacing w:before="400"/>
      </w:pPr>
    </w:p>
    <w:p>
      <w:pPr>
        <w:jc w:val="center"/>
      </w:pPr>
      <w:r>
        <w:rPr>
          <w:sz w:val="28"/>
          <w:szCs w:val="28"/>
        </w:rPr>
        <w:t xml:space="preserve">Executive Overview &amp; Architecture Guide</w:t>
      </w:r>
    </w:p>
    <w:p>
      <w:pPr>
        <w:spacing w:before="800"/>
      </w:pPr>
    </w:p>
    <w:p>
      <w:pPr>
        <w:jc w:val="center"/>
      </w:pPr>
      <w:r>
        <w:rPr>
          <w:b/>
          <w:bCs/>
          <w:sz w:val="24"/>
          <w:szCs w:val="24"/>
        </w:rPr>
        <w:t xml:space="preserve">Version 5.7</w:t>
      </w:r>
    </w:p>
    <w:p>
      <w:pPr>
        <w:jc w:val="center"/>
      </w:pPr>
      <w:r>
        <w:rPr>
          <w:sz w:val="22"/>
          <w:szCs w:val="22"/>
        </w:rPr>
        <w:t xml:space="preserve">January 2026</w:t>
      </w:r>
    </w:p>
    <w:p>
      <w:pPr>
        <w:spacing w:before="1200"/>
      </w:pPr>
    </w:p>
    <w:p>
      <w:pPr>
        <w:jc w:val="center"/>
      </w:pPr>
      <w:r>
        <w:rPr>
          <w:i/>
          <w:iCs/>
          <w:sz w:val="20"/>
          <w:szCs w:val="20"/>
        </w:rPr>
        <w:t xml:space="preserve">Prepared for Senior Engineering &amp; Executive Leadership</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Documentation Package Index</w:t>
      </w:r>
    </w:p>
    <w:p>
      <w:pPr>
        <w:spacing w:after="200"/>
      </w:pPr>
      <w:r>
        <w:t xml:space="preserve">This documentation package consists of nine comprehensive documents covering every aspect of the Mastercard Agent Platform. Each document is designed for a specific audience and purpose.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Document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Description &amp; Audience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Executive Overview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vision, business value, and strategic alignment. For C-suite and senior leadership.</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02</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Architecture Deep Dive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Complete system architecture, component interactions, and data flows. For solution architects.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Model Reference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Dataverse schema, table relationships, and seed data specifications. For database engineers.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Agent Instructions &amp; KB</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Copilot instructions, knowledge base structure, and RAG implementation. For AI engineers.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Power Automate Flows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11 flow specifications with triggers, actions, and response schemas. For Power Platform developers.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06</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Learning Systems</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RAG architecture, self-referential learning, and continuous improvement systems. For ML engineers.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Deployment Guide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Environment setup, configuration, and deployment procedures. For DevOps and platform teams.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08</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Security &amp; Compliance</w:t>
            </w:r>
          </w:p>
        </w:tc>
        <w:tc>
          <w:tcPr>
            <w:tcW w:type="dxa" w:w="5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Security architecture, enterprise integration, and compliance frameworks. For security and compliance teams.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Testing &amp; Evaluation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Evaluation framework, scorers, and quality assurance methodology. For QA and testing teams.</w:t>
            </w:r>
          </w:p>
        </w:tc>
      </w:tr>
    </w:tbl>
    <w:p>
      <w:r>
        <w:br w:type="page"/>
      </w:r>
    </w:p>
    <w:p>
      <w:pPr>
        <w:pStyle w:val="Heading1"/>
      </w:pPr>
      <w:r>
        <w:t xml:space="preserve">Executive Summary</w:t>
      </w:r>
    </w:p>
    <w:p>
      <w:pPr>
        <w:pStyle w:val="Heading2"/>
      </w:pPr>
      <w:r>
        <w:t xml:space="preserve">Platform Vision</w:t>
      </w:r>
    </w:p>
    <w:p>
      <w:pPr>
        <w:spacing w:after="200"/>
      </w:pPr>
      <w:r>
        <w:t xml:space="preserve">The Mastercard Agent Platform is a comprehensive enterprise AI system built on Microsoft's technology stack that transforms how marketing professionals develop media plans. The platform's flagship component, the Media Planning Agent (MPA), provides intelligent, interactive guidance through a systematic 10-step media planning workflow, evolving from rigid workflow enforcement to a strategic advisor model that teaches users while helping them build better campaigns.</w:t>
      </w:r>
    </w:p>
    <w:p>
      <w:pPr>
        <w:spacing w:after="200"/>
      </w:pPr>
      <w:r>
        <w:t xml:space="preserve">The platform leverages a "Lean Orchestration + Rich Knowledge" architecture where core agent instructions remain compact (under 8,000 characters for Copilot Studio compliance) while comprehensive domain expertise resides in an extensible knowledge base. This design enables rapid iteration on agent behavior without touching the underlying knowledge infrastructure.</w:t>
      </w:r>
    </w:p>
    <w:p>
      <w:pPr>
        <w:pStyle w:val="Heading2"/>
      </w:pPr>
      <w:r>
        <w:t xml:space="preserve">Three-Agent System</w:t>
      </w:r>
    </w:p>
    <w:p>
      <w:pPr>
        <w:spacing w:after="100"/>
      </w:pPr>
      <w:r>
        <w:t xml:space="preserve">The platform comprises three specialized agents sharing common infrastructure:</w:t>
      </w:r>
    </w:p>
    <w:p>
      <w:pPr>
        <w:pStyle w:val="ListParagraph"/>
        <w:numPr>
          <w:ilvl w:val="0"/>
          <w:numId w:val="2"/>
        </w:numPr>
      </w:pPr>
      <w:r>
        <w:rPr>
          <w:b/>
          <w:bCs/>
        </w:rPr>
        <w:t xml:space="preserve">Media Planning Agent (MPA): </w:t>
      </w:r>
      <w:r>
        <w:t xml:space="preserve">Guides users through comprehensive media plan development with real-time calculations, benchmark comparisons, and strategic recommendations. Currently in production at v5.7.</w:t>
      </w:r>
    </w:p>
    <w:p>
      <w:pPr>
        <w:pStyle w:val="ListParagraph"/>
        <w:numPr>
          <w:ilvl w:val="0"/>
          <w:numId w:val="2"/>
        </w:numPr>
      </w:pPr>
      <w:r>
        <w:rPr>
          <w:b/>
          <w:bCs/>
        </w:rPr>
        <w:t xml:space="preserve">Consulting Agent (CA): </w:t>
      </w:r>
      <w:r>
        <w:t xml:space="preserve">Extends platform capabilities into strategic consulting, proposal development, and competitive analysis. Scheduled for v1.0 production in March 2026.</w:t>
      </w:r>
    </w:p>
    <w:p>
      <w:pPr>
        <w:pStyle w:val="ListParagraph"/>
        <w:numPr>
          <w:ilvl w:val="0"/>
          <w:numId w:val="2"/>
        </w:numPr>
        <w:spacing w:after="200"/>
      </w:pPr>
      <w:r>
        <w:rPr>
          <w:b/>
          <w:bCs/>
        </w:rPr>
        <w:t xml:space="preserve">Enterprise AI Platform (EAP): </w:t>
      </w:r>
      <w:r>
        <w:t xml:space="preserve">Shared infrastructure layer providing session management, user profiles, audit logging, and feature flags across all agents.</w:t>
      </w:r>
    </w:p>
    <w:p>
      <w:pPr>
        <w:pStyle w:val="Heading2"/>
      </w:pPr>
      <w:r>
        <w:t xml:space="preserve">Key Differentiators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Capability</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Agentic RAG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Agent-driven semantic retrieval with tool use, enabling intelligent knowledge access with proper attribution and source transparency.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Self-Referential Learning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Four-layer learning system enabling continuous improvement through real-time critique, pattern mining, KB enhancement, and user feedback.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Session Isolation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customizations and plan data remain isolated per session, preventing cross-contamination while enabling personalization.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Data Provenance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Every data point is tracked with source attribution across four categories: API data, web research, user-provided, and knowledge base benchmarks.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Extension 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Corporate-specific features (access control, benchmarks, integrations) add functionality without modifying base components, enabling clean upgrades.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rPr>
              <w:t xml:space="preserve">Feature Flags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Runtime toggles control feature availability without code deployment, enabling gradual rollouts and A/B testing.</w:t>
            </w:r>
          </w:p>
        </w:tc>
      </w:tr>
    </w:tbl>
    <w:p>
      <w:r>
        <w:br w:type="page"/>
      </w:r>
    </w:p>
    <w:p>
      <w:pPr>
        <w:pStyle w:val="Heading1"/>
      </w:pPr>
      <w:r>
        <w:t xml:space="preserve">Technology Stack</w:t>
      </w:r>
    </w:p>
    <w:p>
      <w:pPr>
        <w:pStyle w:val="Heading2"/>
      </w:pPr>
      <w:r>
        <w:t xml:space="preserve">Microsoft Power Platform Foundation</w:t>
      </w:r>
    </w:p>
    <w:p>
      <w:pPr>
        <w:spacing w:after="200"/>
      </w:pPr>
      <w:r>
        <w:t xml:space="preserve">The platform is built entirely on Microsoft's enterprise technology stack, ensuring seamless integration with Mastercard's existing infrastructure and security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Component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Technology</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Conversational AI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Copilot Studio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orchestration and conversation management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Data Layer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Microsoft Dataverse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Relational data storage with enterprise security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Automation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 Automate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logic and integration flows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Knowledge Storage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SharePoint Online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Knowledge base document hosting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Functions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generation and complex processing</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LLM Backend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Azure OpenAI Service</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GPT model inference within Azure boundary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Azure AI Search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search for RAG retrieval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Authentication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Microsoft Entra ID (AAD)</w:t>
            </w:r>
          </w:p>
        </w:tc>
        <w:tc>
          <w:tcPr>
            <w:tcW w:type="dxa" w:w="3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Enterprise SSO and identity management</w:t>
            </w:r>
          </w:p>
        </w:tc>
      </w:tr>
    </w:tbl>
    <w:p>
      <w:r>
        <w:br w:type="page"/>
      </w:r>
    </w:p>
    <w:p>
      <w:pPr>
        <w:pStyle w:val="Heading1"/>
      </w:pPr>
      <w:r>
        <w:t xml:space="preserve">Mastercard Integration Readiness</w:t>
      </w:r>
    </w:p>
    <w:p>
      <w:pPr>
        <w:pStyle w:val="Heading2"/>
      </w:pPr>
      <w:r>
        <w:t xml:space="preserve">Enterprise Integration Points</w:t>
      </w:r>
    </w:p>
    <w:p>
      <w:pPr>
        <w:spacing w:after="200"/>
      </w:pPr>
      <w:r>
        <w:t xml:space="preserve">The platform has been architected with Mastercard's specific requirements in mind. The following integration points are built into the base architecture with appropriate stubs and feature flags:</w:t>
      </w:r>
    </w:p>
    <w:p>
      <w:pPr>
        <w:pStyle w:val="ListParagraph"/>
        <w:numPr>
          <w:ilvl w:val="0"/>
          <w:numId w:val="2"/>
        </w:numPr>
      </w:pPr>
      <w:r>
        <w:rPr>
          <w:b/>
          <w:bCs/>
        </w:rPr>
        <w:t xml:space="preserve">Microsoft Entra ID (Azure AD) SSO: </w:t>
      </w:r>
      <w:r>
        <w:t xml:space="preserve">Full support for enterprise single sign-on with automatic user profile creation and role mapping.</w:t>
      </w:r>
    </w:p>
    <w:p>
      <w:pPr>
        <w:pStyle w:val="ListParagraph"/>
        <w:numPr>
          <w:ilvl w:val="0"/>
          <w:numId w:val="2"/>
        </w:numPr>
      </w:pPr>
      <w:r>
        <w:rPr>
          <w:b/>
          <w:bCs/>
        </w:rPr>
        <w:t xml:space="preserve">Organizational Hierarchy: </w:t>
      </w:r>
      <w:r>
        <w:t xml:space="preserve">Extension tables support Business Unit &gt; Department &gt; Team &gt; Pod &gt; Employee hierarchy for row-level security.</w:t>
      </w:r>
    </w:p>
    <w:p>
      <w:pPr>
        <w:pStyle w:val="ListParagraph"/>
        <w:numPr>
          <w:ilvl w:val="0"/>
          <w:numId w:val="2"/>
        </w:numPr>
      </w:pPr>
      <w:r>
        <w:rPr>
          <w:b/>
          <w:bCs/>
        </w:rPr>
        <w:t xml:space="preserve">Data Classification: </w:t>
      </w:r>
      <w:r>
        <w:t xml:space="preserve">All data elements support classification labels (Public, Internal, Confidential, Restricted) with automatic enforcement.</w:t>
      </w:r>
    </w:p>
    <w:p>
      <w:pPr>
        <w:pStyle w:val="ListParagraph"/>
        <w:numPr>
          <w:ilvl w:val="0"/>
          <w:numId w:val="2"/>
        </w:numPr>
      </w:pPr>
      <w:r>
        <w:rPr>
          <w:b/>
          <w:bCs/>
        </w:rPr>
        <w:t xml:space="preserve">Confluence Integration: </w:t>
      </w:r>
      <w:r>
        <w:t xml:space="preserve">Stub flows ready for searching Mastercard Confluence spaces, controlled by feature flag.</w:t>
      </w:r>
    </w:p>
    <w:p>
      <w:pPr>
        <w:pStyle w:val="ListParagraph"/>
        <w:numPr>
          <w:ilvl w:val="0"/>
          <w:numId w:val="2"/>
        </w:numPr>
      </w:pPr>
      <w:r>
        <w:rPr>
          <w:b/>
          <w:bCs/>
        </w:rPr>
        <w:t xml:space="preserve">Corporate Benchmarks: </w:t>
      </w:r>
      <w:r>
        <w:t xml:space="preserve">Extension tables for Mastercard-specific benchmark data that takes precedence over base benchmarks.</w:t>
      </w:r>
    </w:p>
    <w:p>
      <w:pPr>
        <w:pStyle w:val="ListParagraph"/>
        <w:numPr>
          <w:ilvl w:val="0"/>
          <w:numId w:val="2"/>
        </w:numPr>
        <w:spacing w:after="200"/>
      </w:pPr>
      <w:r>
        <w:rPr>
          <w:b/>
          <w:bCs/>
        </w:rPr>
        <w:t xml:space="preserve">Audit Logging: </w:t>
      </w:r>
      <w:r>
        <w:t xml:space="preserve">Extended audit logging captures all user actions and data access for compliance requirements.</w:t>
      </w:r>
    </w:p>
    <w:p>
      <w:pPr>
        <w:pStyle w:val="Heading2"/>
      </w:pPr>
      <w:r>
        <w:t xml:space="preserve">Security Compliance</w:t>
      </w:r>
    </w:p>
    <w:p>
      <w:pPr>
        <w:spacing w:after="100"/>
      </w:pPr>
      <w:r>
        <w:t xml:space="preserve">The platform addresses Mastercard's security requirements through:</w:t>
      </w:r>
    </w:p>
    <w:p>
      <w:pPr>
        <w:pStyle w:val="ListParagraph"/>
        <w:numPr>
          <w:ilvl w:val="0"/>
          <w:numId w:val="2"/>
        </w:numPr>
      </w:pPr>
      <w:r>
        <w:t xml:space="preserve">All data remains within Microsoft's Azure boundary - no external API calls required</w:t>
      </w:r>
    </w:p>
    <w:p>
      <w:pPr>
        <w:pStyle w:val="ListParagraph"/>
        <w:numPr>
          <w:ilvl w:val="0"/>
          <w:numId w:val="2"/>
        </w:numPr>
      </w:pPr>
      <w:r>
        <w:t xml:space="preserve">Azure OpenAI Service provides LLM capabilities without data leaving the Azure tenant</w:t>
      </w:r>
    </w:p>
    <w:p>
      <w:pPr>
        <w:pStyle w:val="ListParagraph"/>
        <w:numPr>
          <w:ilvl w:val="0"/>
          <w:numId w:val="2"/>
        </w:numPr>
      </w:pPr>
      <w:r>
        <w:t xml:space="preserve">Dataverse provides enterprise-grade data security with role-based access control</w:t>
      </w:r>
    </w:p>
    <w:p>
      <w:pPr>
        <w:pStyle w:val="ListParagraph"/>
        <w:numPr>
          <w:ilvl w:val="0"/>
          <w:numId w:val="2"/>
        </w:numPr>
      </w:pPr>
      <w:r>
        <w:t xml:space="preserve">All communications encrypted in transit and at rest</w:t>
      </w:r>
    </w:p>
    <w:p>
      <w:pPr>
        <w:pStyle w:val="ListParagraph"/>
        <w:numPr>
          <w:ilvl w:val="0"/>
          <w:numId w:val="2"/>
        </w:numPr>
      </w:pPr>
      <w:r>
        <w:t xml:space="preserve">Session isolation ensures user data cannot cross boundaries</w:t>
      </w:r>
    </w:p>
    <w:p>
      <w:pPr>
        <w:pStyle w:val="ListParagraph"/>
        <w:numPr>
          <w:ilvl w:val="0"/>
          <w:numId w:val="2"/>
        </w:numPr>
        <w:spacing w:after="200"/>
      </w:pPr>
      <w:r>
        <w:t xml:space="preserve">Comprehensive audit trail for all operations</w:t>
      </w:r>
    </w:p>
    <w:p>
      <w:pPr>
        <w:pStyle w:val="Heading2"/>
      </w:pPr>
      <w:r>
        <w:t xml:space="preserve">Deployment Flexibility</w:t>
      </w:r>
    </w:p>
    <w:p>
      <w:pPr>
        <w:spacing w:after="200"/>
      </w:pPr>
      <w:r>
        <w:t xml:space="preserve">The platform supports dual-branch deployment maintaining separate configurations for development (deploy/personal) and corporate (deploy/mastercard) environments. Extensions enable corporate-specific customizations without modifying base components, ensuring clean upgrade paths.</w:t>
      </w:r>
    </w:p>
    <w:p>
      <w:pPr>
        <w:pStyle w:val="Heading1"/>
      </w:pPr>
      <w:r>
        <w:t xml:space="preserve">Production Readiness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Component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Status</w:t>
            </w:r>
          </w:p>
        </w:tc>
        <w:tc>
          <w:tcPr>
            <w:tcW w:type="dxa" w:w="3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Dataverse Tables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tables (7 MPA + 5 EAP) fully specified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Power Automate Flows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flows with complete specifications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Knowledge 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 documents, 93,314 words indexed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Benchmark Data</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708 records across 4 seed tables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Evaluation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 scorers targeting 95%+ accuracy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Corporate Extensions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27AE60"/>
              </w:rPr>
              <w:t xml:space="preserve">READY</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Access control, audit, benchmarks defined</w:t>
            </w:r>
          </w:p>
        </w:tc>
      </w:tr>
    </w:tbl>
    <w:p>
      <w:pPr>
        <w:spacing w:before="400"/>
      </w:pPr>
    </w:p>
    <w:p>
      <w:pPr>
        <w:jc w:val="center"/>
      </w:pPr>
      <w:r>
        <w:rPr>
          <w:i/>
          <w:iCs/>
          <w:sz w:val="20"/>
          <w:szCs w:val="20"/>
        </w:rPr>
        <w:t xml:space="preserve">For detailed technical specifications, proceed to the subsequent documents in this package.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Mastercard Agent Platform |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471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2026-01-17T05:05:51.799Z</dcterms:created>
  <dcterms:modified xsi:type="dcterms:W3CDTF">2026-01-17T05:05:51.800Z</dcterms:modified>
</cp:coreProperties>
</file>

<file path=docProps/custom.xml><?xml version="1.0" encoding="utf-8"?>
<Properties xmlns="http://schemas.openxmlformats.org/officeDocument/2006/custom-properties" xmlns:vt="http://schemas.openxmlformats.org/officeDocument/2006/docPropsVTypes"/>
</file>