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71" w:name="X6327d24a7be49279eb889c1131dd853b4cc60b2"/>
    <w:p>
      <w:pPr>
        <w:pStyle w:val="Heading1"/>
      </w:pPr>
      <w:r>
        <w:rPr>
          <w:color w:val="FF5F00"/>
        </w:rPr>
        <w:t xml:space="preserve">MASTERCARD DEPLOYMENT - DATA ARCHITECTURE &amp; GOVERNANCE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05-MCMAP_Data_Architecture.md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Data Architects, Database Administrators, Governance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4a80944fd8de16ce2e6d3853595568b547384e">
        <w:r>
          <w:rPr>
            <w:rStyle w:val="Hyperlink"/>
          </w:rPr>
          <w:t xml:space="preserve">Data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6010ebeb5afa69f8f1c7de885edf3f37d443788">
        <w:r>
          <w:rPr>
            <w:rStyle w:val="Hyperlink"/>
          </w:rPr>
          <w:t xml:space="preserve">Dataverse Schema</w:t>
        </w:r>
      </w:hyperlink>
    </w:p>
    <w:p>
      <w:pPr>
        <w:pStyle w:val="Compact"/>
        <w:numPr>
          <w:ilvl w:val="0"/>
          <w:numId w:val="1001"/>
        </w:numPr>
      </w:pPr>
      <w:hyperlink w:anchor="X1bca4abbb8ad8be682fdbe7e6878b01dee49f45">
        <w:r>
          <w:rPr>
            <w:rStyle w:val="Hyperlink"/>
          </w:rPr>
          <w:t xml:space="preserve">Table Specifications</w:t>
        </w:r>
      </w:hyperlink>
    </w:p>
    <w:p>
      <w:pPr>
        <w:pStyle w:val="Compact"/>
        <w:numPr>
          <w:ilvl w:val="0"/>
          <w:numId w:val="1001"/>
        </w:numPr>
      </w:pPr>
      <w:hyperlink w:anchor="X481b82d3649eea26483c434c73034c7cbb1e18b">
        <w:r>
          <w:rPr>
            <w:rStyle w:val="Hyperlink"/>
          </w:rPr>
          <w:t xml:space="preserve">Data Relationships</w:t>
        </w:r>
      </w:hyperlink>
    </w:p>
    <w:p>
      <w:pPr>
        <w:pStyle w:val="Compact"/>
        <w:numPr>
          <w:ilvl w:val="0"/>
          <w:numId w:val="1001"/>
        </w:numPr>
      </w:pPr>
      <w:hyperlink w:anchor="Xa0125bb0bcd77758c6aa6a9cd49fbc5b7611a29">
        <w:r>
          <w:rPr>
            <w:rStyle w:val="Hyperlink"/>
          </w:rPr>
          <w:t xml:space="preserve">Data Flows</w:t>
        </w:r>
      </w:hyperlink>
    </w:p>
    <w:p>
      <w:pPr>
        <w:pStyle w:val="Compact"/>
        <w:numPr>
          <w:ilvl w:val="0"/>
          <w:numId w:val="1001"/>
        </w:numPr>
      </w:pPr>
      <w:hyperlink w:anchor="X3c47f9e4aeec4a83815e5ff61a318759b9889b3">
        <w:r>
          <w:rPr>
            <w:rStyle w:val="Hyperlink"/>
          </w:rPr>
          <w:t xml:space="preserve">Data Governance</w:t>
        </w:r>
      </w:hyperlink>
    </w:p>
    <w:p>
      <w:pPr>
        <w:pStyle w:val="Compact"/>
        <w:numPr>
          <w:ilvl w:val="0"/>
          <w:numId w:val="1001"/>
        </w:numPr>
      </w:pPr>
      <w:hyperlink w:anchor="X3c73a9e3fddd71338bd49b013cdc81b1fe2b773">
        <w:r>
          <w:rPr>
            <w:rStyle w:val="Hyperlink"/>
          </w:rPr>
          <w:t xml:space="preserve">Data Quality</w:t>
        </w:r>
      </w:hyperlink>
    </w:p>
    <w:p>
      <w:pPr>
        <w:pStyle w:val="Compact"/>
        <w:numPr>
          <w:ilvl w:val="0"/>
          <w:numId w:val="1001"/>
        </w:numPr>
      </w:pPr>
      <w:hyperlink w:anchor="X7953ddce862a64093959cf16aaf84347b257e3a">
        <w:r>
          <w:rPr>
            <w:rStyle w:val="Hyperlink"/>
          </w:rPr>
          <w:t xml:space="preserve">Seed Data Management</w:t>
        </w:r>
      </w:hyperlink>
    </w:p>
    <w:p>
      <w:pPr>
        <w:pStyle w:val="Compact"/>
        <w:numPr>
          <w:ilvl w:val="0"/>
          <w:numId w:val="1001"/>
        </w:numPr>
      </w:pPr>
      <w:hyperlink w:anchor="X3c330de97a24e5ee4f99b4f1928de85eefa7ee1">
        <w:r>
          <w:rPr>
            <w:rStyle w:val="Hyperlink"/>
          </w:rPr>
          <w:t xml:space="preserve">Backup &amp; Recovery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data-architecture-overview"/>
    <w:p>
      <w:pPr>
        <w:pStyle w:val="Heading2"/>
      </w:pPr>
      <w:r>
        <w:rPr>
          <w:color w:val="FF5F00"/>
        </w:rPr>
        <w:t xml:space="preserve">1. DATA ARCHITECTURE OVERVIEW</w:t>
      </w:r>
    </w:p>
    <w:bookmarkStart w:id="20" w:name="data-architecture-diagram"/>
    <w:p>
      <w:pPr>
        <w:pStyle w:val="Heading3"/>
      </w:pPr>
      <w:r>
        <w:rPr>
          <w:color w:val="FF5F00"/>
        </w:rPr>
        <w:t xml:space="preserve">1.1 Data Architecture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DATA ARCHITECTURE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DATAVERSE (Primary Store)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EAP PLATFORM TABLES     â”‚  â”‚     MPA DOMAIN TABLES       â”‚     â”‚ â”‚</w:t>
      </w:r>
      <w:r>
        <w:br/>
      </w:r>
      <w:r>
        <w:rPr>
          <w:rStyle w:val="VerbatimChar"/>
        </w:rPr>
        <w:t xml:space="preserve">â”‚  â”‚  â”‚  â”Œâ”€â”€â”€â”€â”€â”€â”€â”€â”€â”€â”€â”€â”€â”€â”€â”€â”€â”€â”€â”€â”€â”€â”€â”  â”‚  â”‚  â”Œâ”€â”€â”€â”€â”€â”€â”€â”€â”€â”€â”€â”€â”€â”€â”€â”€â”€â”€â”€â”€â”€â”€â”€â”  â”‚     â”‚ â”‚</w:t>
      </w:r>
      <w:r>
        <w:br/>
      </w:r>
      <w:r>
        <w:rPr>
          <w:rStyle w:val="VerbatimChar"/>
        </w:rPr>
        <w:t xml:space="preserve">â”‚  â”‚  â”‚  â”‚ eap_agent             â”‚  â”‚  â”‚  â”‚ mpa_channel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        â”‚  â”‚  â”‚  â”‚ mpa_kpi    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eap_capability_impl   â”‚  â”‚  â”‚  â”‚ mpa_benchmark         â”‚  â”‚     â”‚ â”‚</w:t>
      </w:r>
      <w:r>
        <w:br/>
      </w:r>
      <w:r>
        <w:rPr>
          <w:rStyle w:val="VerbatimChar"/>
        </w:rPr>
        <w:t xml:space="preserve">â”‚  â”‚  â”‚  â”‚ eap_prompt            â”‚  â”‚  â”‚  â”‚ mpa_vertical          â”‚  â”‚     â”‚ â”‚</w:t>
      </w:r>
      <w:r>
        <w:br/>
      </w:r>
      <w:r>
        <w:rPr>
          <w:rStyle w:val="VerbatimChar"/>
        </w:rPr>
        <w:t xml:space="preserve">â”‚  â”‚  â”‚  â”‚ eap_test_case         â”‚  â”‚  â”‚  â”‚ mpa_partner           â”‚  â”‚     â”‚ â”‚</w:t>
      </w:r>
      <w:r>
        <w:br/>
      </w:r>
      <w:r>
        <w:rPr>
          <w:rStyle w:val="VerbatimChar"/>
        </w:rPr>
        <w:t xml:space="preserve">â”‚  â”‚  â”‚  â”‚ eap_telemetry         â”‚  â”‚  â”‚  â”‚ mpa_session           â”‚  â”‚     â”‚ â”‚</w:t>
      </w:r>
      <w:r>
        <w:br/>
      </w:r>
      <w:r>
        <w:rPr>
          <w:rStyle w:val="VerbatimChar"/>
        </w:rPr>
        <w:t xml:space="preserve">â”‚  â”‚  â”‚  â”‚ eap_environment_configâ”‚  â”‚  â”‚  â””â”€â”€â”€â”€â”€â”€â”€â”€â”€â”€â”€â”€â”€â”€â”€â”€â”€â”€â”€â”€â”€â”€â”€â”˜  â”‚     â”‚ â”‚</w:t>
      </w:r>
      <w:r>
        <w:br/>
      </w:r>
      <w:r>
        <w:rPr>
          <w:rStyle w:val="VerbatimChar"/>
        </w:rPr>
        <w:t xml:space="preserve">â”‚  â”‚  â”‚  â”‚ eap_session           â”‚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â””â”€â”€â”€â”€â”€â”€â”€â”€â”€â”€â”€â”€â”€â”€â”€â”€â”€â”€â”€â”€â”€â”€â”€â”˜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â”‚</w:t>
      </w:r>
      <w:r>
        <w:br/>
      </w:r>
      <w:r>
        <w:rPr>
          <w:rStyle w:val="VerbatimChar"/>
        </w:rPr>
        <w:t xml:space="preserve">â”‚  â”‚                    SHAREPOINT (Knowledge Store)                     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    â”‚</w:t>
      </w:r>
      <w:r>
        <w:br/>
      </w:r>
      <w:r>
        <w:rPr>
          <w:rStyle w:val="VerbatimChar"/>
        </w:rPr>
        <w:t xml:space="preserve">â”‚  â”‚  â”‚                    KNOWLEDGE BASE LIBRARY                      â”‚ â”‚    â”‚</w:t>
      </w:r>
      <w:r>
        <w:br/>
      </w:r>
      <w:r>
        <w:rPr>
          <w:rStyle w:val="VerbatimChar"/>
        </w:rPr>
        <w:t xml:space="preserve">â”‚  â”‚  â”‚  - Agent Instructions (10 files)                               â”‚ â”‚    â”‚</w:t>
      </w:r>
      <w:r>
        <w:br/>
      </w:r>
      <w:r>
        <w:rPr>
          <w:rStyle w:val="VerbatimChar"/>
        </w:rPr>
        <w:t xml:space="preserve">â”‚  â”‚  â”‚  - Core KB Files (10 files)                                    â”‚ â”‚    â”‚</w:t>
      </w:r>
      <w:r>
        <w:br/>
      </w:r>
      <w:r>
        <w:rPr>
          <w:rStyle w:val="VerbatimChar"/>
        </w:rPr>
        <w:t xml:space="preserve">â”‚  â”‚  â”‚  - Deep Module KB Files (17+ files)                            â”‚ â”‚    â”‚</w:t>
      </w:r>
      <w:r>
        <w:br/>
      </w:r>
      <w:r>
        <w:rPr>
          <w:rStyle w:val="VerbatimChar"/>
        </w:rPr>
        <w:t xml:space="preserve">â”‚  â”‚  â”‚  - EAP Shared KB Files (6 files)                               â”‚ â”‚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data-store-summary"/>
    <w:p>
      <w:pPr>
        <w:pStyle w:val="Heading3"/>
      </w:pPr>
      <w:r>
        <w:rPr>
          <w:color w:val="FF5F00"/>
        </w:rPr>
        <w:t xml:space="preserve">1.2 Data Store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1827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Primary structured data</w:t>
            </w:r>
          </w:p>
        </w:tc>
        <w:tc>
          <w:tcPr/>
          <w:p>
            <w:pPr>
              <w:pStyle w:val="Compact"/>
            </w:pPr>
            <w:r>
              <w:t xml:space="preserve">Configuration, sessions, telemetry, reference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SharePoint Online</w:t>
            </w:r>
          </w:p>
        </w:tc>
        <w:tc>
          <w:tcPr/>
          <w:p>
            <w:pPr>
              <w:pStyle w:val="Compact"/>
            </w:pPr>
            <w:r>
              <w:t xml:space="preserve">Knowledge content</w:t>
            </w:r>
          </w:p>
        </w:tc>
        <w:tc>
          <w:tcPr/>
          <w:p>
            <w:pPr>
              <w:pStyle w:val="Compact"/>
            </w:pPr>
            <w:r>
              <w:t xml:space="preserve">Unstructured KB documents</w:t>
            </w:r>
          </w:p>
        </w:tc>
      </w:tr>
    </w:tbl>
    <w:bookmarkEnd w:id="21"/>
    <w:bookmarkStart w:id="22" w:name="table-inventory"/>
    <w:p>
      <w:pPr>
        <w:pStyle w:val="Heading3"/>
      </w:pPr>
      <w:r>
        <w:rPr>
          <w:color w:val="FF5F00"/>
        </w:rPr>
        <w:t xml:space="preserve">1.3 Table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Table Count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Platform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Agent registry, capabilities,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Security (ABAC)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User profiles, access rules, security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 Domain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Channel, KPI, benchmark reference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6" w:name="dataverse-schema"/>
    <w:p>
      <w:pPr>
        <w:pStyle w:val="Heading2"/>
      </w:pPr>
      <w:r>
        <w:rPr>
          <w:color w:val="FF5F00"/>
        </w:rPr>
        <w:t xml:space="preserve">2. DATAVERSE SCHEMA</w:t>
      </w:r>
    </w:p>
    <w:bookmarkStart w:id="24" w:name="schema-overview"/>
    <w:p>
      <w:pPr>
        <w:pStyle w:val="Heading3"/>
      </w:pPr>
      <w:r>
        <w:rPr>
          <w:color w:val="FF5F00"/>
        </w:rPr>
        <w:t xml:space="preserve">2.1 Schema Overview</w:t>
      </w:r>
    </w:p>
    <w:p>
      <w:pPr>
        <w:pStyle w:val="SourceCode"/>
      </w:pPr>
      <w:r>
        <w:rPr>
          <w:rStyle w:val="VerbatimChar"/>
        </w:rPr>
        <w:t xml:space="preserve">DATAVERSE SCHEMA DIAGRAM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eap_agent      â”‚â—„â”€â”€â”€â”€â”€â”€â”€â”€â”‚  eap_capability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agent_code PK â”‚         â”‚  - capability_id â”‚                          â”‚</w:t>
      </w:r>
      <w:r>
        <w:br/>
      </w:r>
      <w:r>
        <w:rPr>
          <w:rStyle w:val="VerbatimChar"/>
        </w:rPr>
        <w:t xml:space="preserve">â”‚  â”‚  - agent_name    â”‚         â”‚  - agent_code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â”‚                                     â”‚</w:t>
      </w:r>
      <w:r>
        <w:br/>
      </w:r>
      <w:r>
        <w:rPr>
          <w:rStyle w:val="VerbatimChar"/>
        </w:rPr>
        <w:t xml:space="preserve">â”‚                                        â”‚ 1:N                                 â”‚</w:t>
      </w:r>
      <w:r>
        <w:br/>
      </w:r>
      <w:r>
        <w:rPr>
          <w:rStyle w:val="VerbatimChar"/>
        </w:rPr>
        <w:t xml:space="preserve">â”‚                                        â–¼                                     â”‚</w:t>
      </w:r>
      <w:r>
        <w:br/>
      </w:r>
      <w:r>
        <w:rPr>
          <w:rStyle w:val="VerbatimChar"/>
        </w:rPr>
        <w:t xml:space="preserve">â”‚                            â”Œâ”€â”€â”€â”€â”€â”€â”€â”€â”€â”€â”€â”€â”€â”€â”€â”€â”€â”€â”€â”€â”€â”€â”                         â”‚</w:t>
      </w:r>
      <w:r>
        <w:br/>
      </w:r>
      <w:r>
        <w:rPr>
          <w:rStyle w:val="VerbatimChar"/>
        </w:rPr>
        <w:t xml:space="preserve">â”‚                            â”‚ eap_capability_impl  â”‚                         â”‚</w:t>
      </w:r>
      <w:r>
        <w:br/>
      </w:r>
      <w:r>
        <w:rPr>
          <w:rStyle w:val="VerbatimChar"/>
        </w:rPr>
        <w:t xml:space="preserve">â”‚                            â”‚                   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implementation_id  â”‚                         â”‚</w:t>
      </w:r>
      <w:r>
        <w:br/>
      </w:r>
      <w:r>
        <w:rPr>
          <w:rStyle w:val="VerbatimChar"/>
        </w:rPr>
        <w:t xml:space="preserve">â”‚                            â”‚ - capability_code FK â”‚                         â”‚</w:t>
      </w:r>
      <w:r>
        <w:br/>
      </w:r>
      <w:r>
        <w:rPr>
          <w:rStyle w:val="VerbatimChar"/>
        </w:rPr>
        <w:t xml:space="preserve">â”‚                            â”‚ - environment_code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implementation_typeâ”‚                         â”‚</w:t>
      </w:r>
      <w:r>
        <w:br/>
      </w:r>
      <w:r>
        <w:rPr>
          <w:rStyle w:val="VerbatimChar"/>
        </w:rPr>
        <w:t xml:space="preserve">â”‚                            â””â”€â”€â”€â”€â”€â”€â”€â”€â”€â”€â”€â”€â”€â”€â”€â”€â”€â”€â”€â”€â”€â”€â”˜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eap_prompt     â”‚         â”‚  eap_test_case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prompt_code   â”‚         â”‚  - test_id       â”‚                          â”‚</w:t>
      </w:r>
      <w:r>
        <w:br/>
      </w:r>
      <w:r>
        <w:rPr>
          <w:rStyle w:val="VerbatimChar"/>
        </w:rPr>
        <w:t xml:space="preserve">â”‚  â”‚  - agent_code FK â”‚         â”‚  - capability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eap_session    â”‚â—„â”€â”€â”€â”€â”€â”€â”€â”€â”‚  eap_telemetry 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session_id PK â”‚         â”‚  - telemetry_id  â”‚                          â”‚</w:t>
      </w:r>
      <w:r>
        <w:br/>
      </w:r>
      <w:r>
        <w:rPr>
          <w:rStyle w:val="VerbatimChar"/>
        </w:rPr>
        <w:t xml:space="preserve">â”‚  â”‚  - user_id       â”‚         â”‚  - session_id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                                              â”‚</w:t>
      </w:r>
      <w:r>
        <w:br/>
      </w:r>
      <w:r>
        <w:rPr>
          <w:rStyle w:val="VerbatimChar"/>
        </w:rPr>
        <w:t xml:space="preserve">â”‚  â”‚eap_environment   â”‚                                                       â”‚</w:t>
      </w:r>
      <w:r>
        <w:br/>
      </w:r>
      <w:r>
        <w:rPr>
          <w:rStyle w:val="VerbatimChar"/>
        </w:rPr>
        <w:t xml:space="preserve">â”‚  â”‚    _config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          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environment_id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environment_cd â”‚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â”‚  mpa_vertical    â”‚   â”‚   mpa_channel    â”‚   â”‚    mpa_kpi       â”‚        â”‚</w:t>
      </w:r>
      <w:r>
        <w:br/>
      </w:r>
      <w:r>
        <w:rPr>
          <w:rStyle w:val="VerbatimChar"/>
        </w:rPr>
        <w:t xml:space="preserve">â”‚  â”‚                  â”‚   â”‚                  â”‚   â”‚                  â”‚        â”‚</w:t>
      </w:r>
      <w:r>
        <w:br/>
      </w:r>
      <w:r>
        <w:rPr>
          <w:rStyle w:val="VerbatimChar"/>
        </w:rPr>
        <w:t xml:space="preserve">â”‚  â”‚  - vertical_id   â”‚   â”‚  - channel_id    â”‚   â”‚  - kpi_id        â”‚        â”‚</w:t>
      </w:r>
      <w:r>
        <w:br/>
      </w:r>
      <w:r>
        <w:rPr>
          <w:rStyle w:val="VerbatimChar"/>
        </w:rPr>
        <w:t xml:space="preserve">â”‚  â”‚  - vertical_code â”‚   â”‚  - channel_code  â”‚   â”‚  - kpi_code      â”‚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     â”‚</w:t>
      </w:r>
      <w:r>
        <w:br/>
      </w:r>
      <w:r>
        <w:rPr>
          <w:rStyle w:val="VerbatimChar"/>
        </w:rPr>
        <w:t xml:space="preserve">â”‚           â”‚                      â”‚                      â”‚                  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˜                   â”‚</w:t>
      </w:r>
      <w:r>
        <w:br/>
      </w:r>
      <w:r>
        <w:rPr>
          <w:rStyle w:val="VerbatimChar"/>
        </w:rPr>
        <w:t xml:space="preserve">â”‚                                  â”‚                                          â”‚</w:t>
      </w:r>
      <w:r>
        <w:br/>
      </w:r>
      <w:r>
        <w:rPr>
          <w:rStyle w:val="VerbatimChar"/>
        </w:rPr>
        <w:t xml:space="preserve">â”‚                                  â–¼                                          â”‚</w:t>
      </w:r>
      <w:r>
        <w:br/>
      </w:r>
      <w:r>
        <w:rPr>
          <w:rStyle w:val="VerbatimChar"/>
        </w:rPr>
        <w:t xml:space="preserve">â”‚                       â”Œâ”€â”€â”€â”€â”€â”€â”€â”€â”€â”€â”€â”€â”€â”€â”€â”€â”€â”€â”€â”€â”€â”€â”                              â”‚</w:t>
      </w:r>
      <w:r>
        <w:br/>
      </w:r>
      <w:r>
        <w:rPr>
          <w:rStyle w:val="VerbatimChar"/>
        </w:rPr>
        <w:t xml:space="preserve">â”‚                       â”‚   mpa_benchmark      â”‚                              â”‚</w:t>
      </w:r>
      <w:r>
        <w:br/>
      </w:r>
      <w:r>
        <w:rPr>
          <w:rStyle w:val="VerbatimChar"/>
        </w:rPr>
        <w:t xml:space="preserve">â”‚                       â”‚                      â”‚                              â”‚</w:t>
      </w:r>
      <w:r>
        <w:br/>
      </w:r>
      <w:r>
        <w:rPr>
          <w:rStyle w:val="VerbatimChar"/>
        </w:rPr>
        <w:t xml:space="preserve">â”‚                       â”‚ - benchmark_id       â”‚                              â”‚</w:t>
      </w:r>
      <w:r>
        <w:br/>
      </w:r>
      <w:r>
        <w:rPr>
          <w:rStyle w:val="VerbatimChar"/>
        </w:rPr>
        <w:t xml:space="preserve">â”‚                       â”‚ - vertical_code FK   â”‚                              â”‚</w:t>
      </w:r>
      <w:r>
        <w:br/>
      </w:r>
      <w:r>
        <w:rPr>
          <w:rStyle w:val="VerbatimChar"/>
        </w:rPr>
        <w:t xml:space="preserve">â”‚                       â”‚ - channel_code FK    â”‚                              â”‚</w:t>
      </w:r>
      <w:r>
        <w:br/>
      </w:r>
      <w:r>
        <w:rPr>
          <w:rStyle w:val="VerbatimChar"/>
        </w:rPr>
        <w:t xml:space="preserve">â”‚                       â”‚ - kpi_code FK        â”‚                              â”‚</w:t>
      </w:r>
      <w:r>
        <w:br/>
      </w:r>
      <w:r>
        <w:rPr>
          <w:rStyle w:val="VerbatimChar"/>
        </w:rPr>
        <w:t xml:space="preserve">â”‚                       â””â”€â”€â”€â”€â”€â”€â”€â”€â”€â”€â”€â”€â”€â”€â”€â”€â”€â”€â”€â”€â”€â”€â”˜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mpa_partner    â”‚         â”‚   mpa_session 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partner_id    â”‚         â”‚  - session_id    â”‚                          â”‚</w:t>
      </w:r>
      <w:r>
        <w:br/>
      </w:r>
      <w:r>
        <w:rPr>
          <w:rStyle w:val="VerbatimChar"/>
        </w:rPr>
        <w:t xml:space="preserve">â”‚  â”‚  - partner_name  â”‚         â”‚  - step_data    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naming-conventions"/>
    <w:p>
      <w:pPr>
        <w:pStyle w:val="Heading3"/>
      </w:pPr>
      <w:r>
        <w:rPr>
          <w:color w:val="FF5F00"/>
        </w:rPr>
        <w:t xml:space="preserve">2.2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name</w:t>
            </w:r>
          </w:p>
        </w:tc>
        <w:tc>
          <w:tcPr/>
          <w:p>
            <w:pPr>
              <w:pStyle w:val="Compact"/>
            </w:pPr>
            <w:r>
              <w:t xml:space="preserve">{prefix}_{entity}</w:t>
            </w:r>
          </w:p>
        </w:tc>
        <w:tc>
          <w:tcPr/>
          <w:p>
            <w:pPr>
              <w:pStyle w:val="Compact"/>
            </w:pPr>
            <w:r>
              <w:t xml:space="preserve">eap_agent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{entity}id</w:t>
            </w:r>
          </w:p>
        </w:tc>
        <w:tc>
          <w:tcPr/>
          <w:p>
            <w:pPr>
              <w:pStyle w:val="Compact"/>
            </w:pPr>
            <w:r>
              <w:t xml:space="preserve">agentid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key</w:t>
            </w:r>
          </w:p>
        </w:tc>
        <w:tc>
          <w:tcPr/>
          <w:p>
            <w:pPr>
              <w:pStyle w:val="Compact"/>
            </w:pPr>
            <w:r>
              <w:t xml:space="preserve">{related_entity}_code or _id</w:t>
            </w:r>
          </w:p>
        </w:tc>
        <w:tc>
          <w:tcPr/>
          <w:p>
            <w:pPr>
              <w:pStyle w:val="Compact"/>
            </w:pPr>
            <w:r>
              <w:t xml:space="preserve">capability_code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column</w:t>
            </w:r>
          </w:p>
        </w:tc>
        <w:tc>
          <w:tcPr/>
          <w:p>
            <w:pPr>
              <w:pStyle w:val="Compact"/>
            </w:pPr>
            <w:r>
              <w:t xml:space="preserve">{column}_code</w:t>
            </w:r>
          </w:p>
        </w:tc>
        <w:tc>
          <w:tcPr/>
          <w:p>
            <w:pPr>
              <w:pStyle w:val="Compact"/>
            </w:pPr>
            <w:r>
              <w:t xml:space="preserve">environment_code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 column</w:t>
            </w:r>
          </w:p>
        </w:tc>
        <w:tc>
          <w:tcPr/>
          <w:p>
            <w:pPr>
              <w:pStyle w:val="Compact"/>
            </w:pPr>
            <w:r>
              <w:t xml:space="preserve">is_{descriptor}</w:t>
            </w:r>
          </w:p>
        </w:tc>
        <w:tc>
          <w:tcPr/>
          <w:p>
            <w:pPr>
              <w:pStyle w:val="Compact"/>
            </w:pPr>
            <w:r>
              <w:t xml:space="preserve">is_enabled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DateTime column</w:t>
            </w:r>
          </w:p>
        </w:tc>
        <w:tc>
          <w:tcPr/>
          <w:p>
            <w:pPr>
              <w:pStyle w:val="Compact"/>
            </w:pPr>
            <w:r>
              <w:t xml:space="preserve">{action}_at</w:t>
            </w:r>
          </w:p>
        </w:tc>
        <w:tc>
          <w:tcPr/>
          <w:p>
            <w:pPr>
              <w:pStyle w:val="Compact"/>
            </w:pPr>
            <w:r>
              <w:t xml:space="preserve">created_at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column</w:t>
            </w:r>
          </w:p>
        </w:tc>
        <w:tc>
          <w:tcPr/>
          <w:p>
            <w:pPr>
              <w:pStyle w:val="Compact"/>
            </w:pPr>
            <w:r>
              <w:t xml:space="preserve">{descriptor}_json</w:t>
            </w:r>
          </w:p>
        </w:tc>
        <w:tc>
          <w:tcPr/>
          <w:p>
            <w:pPr>
              <w:pStyle w:val="Compact"/>
            </w:pPr>
            <w:r>
              <w:t xml:space="preserve">inputs_json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48" w:name="table-specifications"/>
    <w:p>
      <w:pPr>
        <w:pStyle w:val="Heading2"/>
      </w:pPr>
      <w:r>
        <w:rPr>
          <w:color w:val="FF5F00"/>
        </w:rPr>
        <w:t xml:space="preserve">3. TABLE SPECIFICATIONS</w:t>
      </w:r>
    </w:p>
    <w:bookmarkStart w:id="35" w:name="eap-platform-tables"/>
    <w:p>
      <w:pPr>
        <w:pStyle w:val="Heading3"/>
      </w:pPr>
      <w:r>
        <w:rPr>
          <w:color w:val="FF5F00"/>
        </w:rPr>
        <w:t xml:space="preserve">3.1 EAP Platform Tables</w:t>
      </w:r>
    </w:p>
    <w:bookmarkStart w:id="27" w:name="eap_agent"/>
    <w:p>
      <w:pPr>
        <w:pStyle w:val="Heading4"/>
      </w:pPr>
      <w:r>
        <w:rPr>
          <w:color w:val="FF5F00"/>
        </w:rPr>
        <w:t xml:space="preserve">eap_agent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Registry of all agents in the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agent identifier (ORC, ANL,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Agent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capability_tags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Comma-separated capability keywords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routing_priority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Routing order (default: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 (default: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Version string (default:</w:t>
            </w:r>
            <w:r>
              <w:t xml:space="preserve"> </w:t>
            </w:r>
            <w:r>
              <w:t xml:space="preserve">“1.0”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10 records (one per agent)</w:t>
      </w:r>
    </w:p>
    <w:p>
      <w:r>
        <w:pict>
          <v:rect style="width:0;height:1.5pt" o:hralign="center" o:hrstd="t" o:hr="t"/>
        </w:pict>
      </w:r>
    </w:p>
    <w:bookmarkEnd w:id="27"/>
    <w:bookmarkStart w:id="28" w:name="eap_capability"/>
    <w:p>
      <w:pPr>
        <w:pStyle w:val="Heading4"/>
      </w:pPr>
      <w:r>
        <w:rPr>
          <w:color w:val="FF5F00"/>
        </w:rPr>
        <w:t xml:space="preserve">eap_capability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Capability definitions with schemas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capability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Owning agent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Capability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input_schema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schema for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output_schema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schema for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36 records</w:t>
      </w:r>
    </w:p>
    <w:p>
      <w:r>
        <w:pict>
          <v:rect style="width:0;height:1.5pt" o:hralign="center" o:hrstd="t" o:hr="t"/>
        </w:pict>
      </w:r>
    </w:p>
    <w:bookmarkEnd w:id="28"/>
    <w:bookmarkStart w:id="29" w:name="eap_capability_implementation"/>
    <w:p>
      <w:pPr>
        <w:pStyle w:val="Heading4"/>
      </w:pPr>
      <w:r>
        <w:rPr>
          <w:color w:val="FF5F00"/>
        </w:rPr>
        <w:t xml:space="preserve">eap_capability_implementation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Environment-specific implementation mappings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eap_capability_implementationid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Capability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environment_code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AI_BUILDER_PROMPT, DATAVERSE_LOGIC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AI Builder prompt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endpoint_url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Endpoint for HTTP/Function (not used in MC)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priority_order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Execution priority (1=highest)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Enabled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fallback_implementation_id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Fallback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timeout_ms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Timeout in milliseconds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~50 records (capabilities Ã— environments)</w:t>
      </w:r>
    </w:p>
    <w:p>
      <w:r>
        <w:pict>
          <v:rect style="width:0;height:1.5pt" o:hralign="center" o:hrstd="t" o:hr="t"/>
        </w:pict>
      </w:r>
    </w:p>
    <w:bookmarkEnd w:id="29"/>
    <w:bookmarkStart w:id="30" w:name="eap_prompt"/>
    <w:p>
      <w:pPr>
        <w:pStyle w:val="Heading4"/>
      </w:pPr>
      <w:r>
        <w:rPr>
          <w:color w:val="FF5F00"/>
        </w:rPr>
        <w:t xml:space="preserve">eap_prompt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AI Builder prompt registry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eap_promptid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prompt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Associated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AI model (default: gpt-4)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system_message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System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user_template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User message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output_format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Token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Temperature setting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26 records</w:t>
      </w:r>
    </w:p>
    <w:p>
      <w:r>
        <w:pict>
          <v:rect style="width:0;height:1.5pt" o:hralign="center" o:hrstd="t" o:hr="t"/>
        </w:pict>
      </w:r>
    </w:p>
    <w:bookmarkEnd w:id="30"/>
    <w:bookmarkStart w:id="31" w:name="eap_test_case"/>
    <w:p>
      <w:pPr>
        <w:pStyle w:val="Heading4"/>
      </w:pPr>
      <w:r>
        <w:rPr>
          <w:color w:val="FF5F00"/>
        </w:rPr>
        <w:t xml:space="preserve">eap_test_case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Golden test scenarios for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eap_test_caseid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scenario_id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scenario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Capability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Test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Expected routing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expected_outputs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Expected output assertions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expected_citations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Expected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last_run_result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PASS, FAIL,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31"/>
    <w:bookmarkStart w:id="32" w:name="eap_telemetry"/>
    <w:p>
      <w:pPr>
        <w:pStyle w:val="Heading4"/>
      </w:pPr>
      <w:r>
        <w:rPr>
          <w:color w:val="FF5F00"/>
        </w:rPr>
        <w:t xml:space="preserve">eap_telemetry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Observability logging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eap_telemetryid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Session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Capability invoked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Agent that invoked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Implementation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inputs_summary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Sanitized input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outputs_summary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Sanitized output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latency_ms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Execution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Success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Error code if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error_message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Error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Event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180 days (automatic purge)</w:t>
      </w:r>
    </w:p>
    <w:p>
      <w:r>
        <w:pict>
          <v:rect style="width:0;height:1.5pt" o:hralign="center" o:hrstd="t" o:hr="t"/>
        </w:pict>
      </w:r>
    </w:p>
    <w:bookmarkEnd w:id="32"/>
    <w:bookmarkStart w:id="33" w:name="eap_environment_config"/>
    <w:p>
      <w:pPr>
        <w:pStyle w:val="Heading4"/>
      </w:pPr>
      <w:r>
        <w:rPr>
          <w:color w:val="FF5F00"/>
        </w:rPr>
        <w:t xml:space="preserve">eap_environment_config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 configuration settings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eap_environment_configid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environment_code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dataverse_url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Dataverse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sharepoint_url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SharePoint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features_json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Feature flags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environment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 record (MASTERCARD)</w:t>
      </w:r>
    </w:p>
    <w:p>
      <w:r>
        <w:pict>
          <v:rect style="width:0;height:1.5pt" o:hralign="center" o:hrstd="t" o:hr="t"/>
        </w:pict>
      </w:r>
    </w:p>
    <w:bookmarkEnd w:id="33"/>
    <w:bookmarkStart w:id="34" w:name="eap_session"/>
    <w:p>
      <w:pPr>
        <w:pStyle w:val="Heading4"/>
      </w:pPr>
      <w:r>
        <w:rPr>
          <w:color w:val="FF5F00"/>
        </w:rPr>
        <w:t xml:space="preserve">eap_session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 session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user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session_start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Session start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session_end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Session end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context_json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Session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90 days (automatic purge)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eap-security-tables-abac"/>
    <w:p>
      <w:pPr>
        <w:pStyle w:val="Heading3"/>
      </w:pPr>
      <w:r>
        <w:rPr>
          <w:color w:val="FF5F00"/>
        </w:rPr>
        <w:t xml:space="preserve">3.2 EAP Security Tables (ABAC)</w:t>
      </w:r>
    </w:p>
    <w:bookmarkStart w:id="36" w:name="eap_security_config"/>
    <w:p>
      <w:pPr>
        <w:pStyle w:val="Heading4"/>
      </w:pPr>
      <w:r>
        <w:rPr>
          <w:color w:val="FF5F00"/>
        </w:rPr>
        <w:t xml:space="preserve">eap_security_config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Global security settings and toggles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Configuration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config_value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Configuration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What this setting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flag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ABAC_ENABLED, CSUITE_PROTECTION_ENABLED, PROFILE_TRACKING_ENABLED, DEFAULT_ACCESS</w:t>
      </w:r>
    </w:p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8 records</w:t>
      </w:r>
    </w:p>
    <w:p>
      <w:r>
        <w:pict>
          <v:rect style="width:0;height:1.5pt" o:hralign="center" o:hrstd="t" o:hr="t"/>
        </w:pict>
      </w:r>
    </w:p>
    <w:bookmarkEnd w:id="36"/>
    <w:bookmarkStart w:id="37" w:name="eap_user_profile"/>
    <w:p>
      <w:pPr>
        <w:pStyle w:val="Heading4"/>
      </w:pPr>
      <w:r>
        <w:rPr>
          <w:color w:val="FF5F00"/>
        </w:rPr>
        <w:t xml:space="preserve">eap_user_profile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Full user profile from Microsoft Directory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user ID (unique)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Text(320)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job_title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Level (CEO, EVP, SVP, VP, Director,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office_location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cost_center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Direct manager’s Azure AD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manager_display_name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Manager’s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manager_chain_json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array of manager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security_groups_json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array of security group memberships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first_seen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First platform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Profile cache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Indefinite (updated on session start when stale)</w:t>
      </w:r>
    </w:p>
    <w:p>
      <w:r>
        <w:pict>
          <v:rect style="width:0;height:1.5pt" o:hralign="center" o:hrstd="t" o:hr="t"/>
        </w:pict>
      </w:r>
    </w:p>
    <w:bookmarkEnd w:id="37"/>
    <w:bookmarkStart w:id="38" w:name="eap_access_rule"/>
    <w:p>
      <w:pPr>
        <w:pStyle w:val="Heading4"/>
      </w:pPr>
      <w:r>
        <w:rPr>
          <w:color w:val="FF5F00"/>
        </w:rPr>
        <w:t xml:space="preserve">eap_access_rule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Attribute-based access control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rule_description</w:t>
            </w:r>
          </w:p>
        </w:tc>
        <w:tc>
          <w:tcPr/>
          <w:p>
            <w:pPr>
              <w:pStyle w:val="Compact"/>
            </w:pPr>
            <w:r>
              <w:t xml:space="preserve">Text(1000)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target_pattern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conditions_json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condition_logic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ALL (AND) / ANY (OR)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denial_message</w:t>
            </w:r>
          </w:p>
        </w:tc>
        <w:tc>
          <w:tcPr/>
          <w:p>
            <w:pPr>
              <w:pStyle w:val="Compact"/>
            </w:pPr>
            <w:r>
              <w:t xml:space="preserve">Text(1000)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Custom denial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applies_when_abac_off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~20 records</w:t>
      </w:r>
    </w:p>
    <w:p>
      <w:r>
        <w:pict>
          <v:rect style="width:0;height:1.5pt" o:hralign="center" o:hrstd="t" o:hr="t"/>
        </w:pict>
      </w:r>
    </w:p>
    <w:bookmarkEnd w:id="38"/>
    <w:bookmarkStart w:id="39" w:name="eap_access_request"/>
    <w:p>
      <w:pPr>
        <w:pStyle w:val="Heading4"/>
      </w:pPr>
      <w:r>
        <w:rPr>
          <w:color w:val="FF5F00"/>
        </w:rPr>
        <w:t xml:space="preserve">eap_access_request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 access requests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user_display_name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user_email</w:t>
            </w:r>
          </w:p>
        </w:tc>
        <w:tc>
          <w:tcPr/>
          <w:p>
            <w:pPr>
              <w:pStyle w:val="Compact"/>
            </w:pPr>
            <w:r>
              <w:t xml:space="preserve">Text(320)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user_department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user_job_title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user_employee_level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user_division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user_region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requested_content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request_status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Who resolved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resolution_notes</w:t>
            </w:r>
          </w:p>
        </w:tc>
        <w:tc>
          <w:tcPr/>
          <w:p>
            <w:pPr>
              <w:pStyle w:val="Compact"/>
            </w:pPr>
            <w:r>
              <w:t xml:space="preserve">Text(1000)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Notes from resolver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rule_triggered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Name of rule that denied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 year (for audit purposes)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mpa-domain-tables"/>
    <w:p>
      <w:pPr>
        <w:pStyle w:val="Heading3"/>
      </w:pPr>
      <w:r>
        <w:rPr>
          <w:color w:val="FF5F00"/>
        </w:rPr>
        <w:t xml:space="preserve">3.3 MPA Domain Tables</w:t>
      </w:r>
    </w:p>
    <w:bookmarkStart w:id="41" w:name="mpa_channel"/>
    <w:p>
      <w:pPr>
        <w:pStyle w:val="Heading4"/>
      </w:pPr>
      <w:r>
        <w:rPr>
          <w:color w:val="FF5F00"/>
        </w:rPr>
        <w:t xml:space="preserve">mpa_channel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Channel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channel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channel_category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DIGITAL, TRADITIONAL, 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parent_channel_code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Parent channel for hierarchy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43 records</w:t>
      </w:r>
    </w:p>
    <w:p>
      <w:r>
        <w:pict>
          <v:rect style="width:0;height:1.5pt" o:hralign="center" o:hrstd="t" o:hr="t"/>
        </w:pict>
      </w:r>
    </w:p>
    <w:bookmarkEnd w:id="41"/>
    <w:bookmarkStart w:id="42" w:name="mpa_kpi"/>
    <w:p>
      <w:pPr>
        <w:pStyle w:val="Heading4"/>
      </w:pPr>
      <w:r>
        <w:rPr>
          <w:color w:val="FF5F00"/>
        </w:rPr>
        <w:t xml:space="preserve">mpa_kpi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KPI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mpa_kpiid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KPI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kpi_category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AWARENESS, CONSIDERATION,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 of measure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44 records</w:t>
      </w:r>
    </w:p>
    <w:p>
      <w:r>
        <w:pict>
          <v:rect style="width:0;height:1.5pt" o:hralign="center" o:hrstd="t" o:hr="t"/>
        </w:pict>
      </w:r>
    </w:p>
    <w:bookmarkEnd w:id="42"/>
    <w:bookmarkStart w:id="43" w:name="mpa_vertical"/>
    <w:p>
      <w:pPr>
        <w:pStyle w:val="Heading4"/>
      </w:pPr>
      <w:r>
        <w:rPr>
          <w:color w:val="FF5F00"/>
        </w:rPr>
        <w:t xml:space="preserve">mpa_vertical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vertical classifications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mpa_verticalid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vertical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15 records</w:t>
      </w:r>
    </w:p>
    <w:p>
      <w:r>
        <w:pict>
          <v:rect style="width:0;height:1.5pt" o:hralign="center" o:hrstd="t" o:hr="t"/>
        </w:pict>
      </w:r>
    </w:p>
    <w:bookmarkEnd w:id="43"/>
    <w:bookmarkStart w:id="44" w:name="mpa_benchmark"/>
    <w:p>
      <w:pPr>
        <w:pStyle w:val="Heading4"/>
      </w:pPr>
      <w:r>
        <w:rPr>
          <w:color w:val="FF5F00"/>
        </w:rPr>
        <w:t xml:space="preserve">mpa_benchmark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benchmarks by vertical Ã— channel Ã— KPI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mpa_benchmarkid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Vertical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Channel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KPI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benchmark_value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Benchmark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benchmark_low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benchmark_high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High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Effective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708+ records</w:t>
      </w:r>
    </w:p>
    <w:p>
      <w:r>
        <w:pict>
          <v:rect style="width:0;height:1.5pt" o:hralign="center" o:hrstd="t" o:hr="t"/>
        </w:pict>
      </w:r>
    </w:p>
    <w:bookmarkEnd w:id="44"/>
    <w:bookmarkStart w:id="45" w:name="mpa_partner"/>
    <w:p>
      <w:pPr>
        <w:pStyle w:val="Heading4"/>
      </w:pPr>
      <w:r>
        <w:rPr>
          <w:color w:val="FF5F00"/>
        </w:rPr>
        <w:t xml:space="preserve">mpa_partner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Partner/vendor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mpa_partnerid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partner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DSP, SSP, DMP, 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fee_percentage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Standard fee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capabilities_json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Capabilities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45"/>
    <w:bookmarkStart w:id="46" w:name="mpa_session"/>
    <w:p>
      <w:pPr>
        <w:pStyle w:val="Heading4"/>
      </w:pPr>
      <w:r>
        <w:rPr>
          <w:color w:val="FF5F00"/>
        </w:rPr>
        <w:t xml:space="preserve">mpa_session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MPA-specific session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mpa_sessionid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EAP session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current_step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Current workflow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step_data_json</w:t>
            </w:r>
          </w:p>
        </w:tc>
        <w:tc>
          <w:tcPr/>
          <w:p>
            <w:pPr>
              <w:pStyle w:val="Compact"/>
            </w:pPr>
            <w:r>
              <w:t xml:space="preserve">Multiline(16000)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Step completion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campaign_context_json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Campaign context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End w:id="47"/>
    <w:bookmarkEnd w:id="48"/>
    <w:bookmarkStart w:id="51" w:name="data-relationships"/>
    <w:p>
      <w:pPr>
        <w:pStyle w:val="Heading2"/>
      </w:pPr>
      <w:r>
        <w:rPr>
          <w:color w:val="FF5F00"/>
        </w:rPr>
        <w:t xml:space="preserve">4. DATA RELATIONSHIPS</w:t>
      </w:r>
    </w:p>
    <w:bookmarkStart w:id="49" w:name="primary-relationships"/>
    <w:p>
      <w:pPr>
        <w:pStyle w:val="Heading3"/>
      </w:pPr>
      <w:r>
        <w:rPr>
          <w:color w:val="FF5F00"/>
        </w:rPr>
        <w:t xml:space="preserve">4.1 Primary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1906"/>
        <w:gridCol w:w="2053"/>
        <w:gridCol w:w="19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Parent Table</w:t>
            </w:r>
          </w:p>
        </w:tc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Cardinality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eap_prompt</w:t>
            </w:r>
          </w:p>
        </w:tc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eap_test_case</w:t>
            </w:r>
          </w:p>
        </w:tc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</w:t>
            </w:r>
          </w:p>
        </w:tc>
        <w:tc>
          <w:tcPr/>
          <w:p>
            <w:pPr>
              <w:pStyle w:val="Compact"/>
            </w:pPr>
            <w:r>
              <w:t xml:space="preserve">mpa_session</w:t>
            </w:r>
          </w:p>
        </w:tc>
        <w:tc>
          <w:tcPr/>
          <w:p>
            <w:pPr>
              <w:pStyle w:val="Compact"/>
            </w:pPr>
            <w:r>
              <w:t xml:space="preserve">eap_session_id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mpa_vertical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vertical_code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mpa_kpi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kpi_code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</w:tbl>
    <w:bookmarkEnd w:id="49"/>
    <w:bookmarkStart w:id="50" w:name="lookup-relationships"/>
    <w:p>
      <w:pPr>
        <w:pStyle w:val="Heading3"/>
      </w:pPr>
      <w:r>
        <w:rPr>
          <w:color w:val="FF5F00"/>
        </w:rPr>
        <w:t xml:space="preserve">4.2 Lookup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2640"/>
        <w:gridCol w:w="246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Lookup Column</w:t>
            </w:r>
          </w:p>
        </w:tc>
        <w:tc>
          <w:tcPr/>
          <w:p>
            <w:pPr>
              <w:pStyle w:val="Compact"/>
            </w:pPr>
            <w:r>
              <w:t xml:space="preserve">Target 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fallback_implementation_id</w:t>
            </w:r>
          </w:p>
        </w:tc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parent_channel_code</w:t>
            </w:r>
          </w:p>
        </w:tc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Channel hierarchy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5" w:name="data-flows"/>
    <w:p>
      <w:pPr>
        <w:pStyle w:val="Heading2"/>
      </w:pPr>
      <w:r>
        <w:rPr>
          <w:color w:val="FF5F00"/>
        </w:rPr>
        <w:t xml:space="preserve">5. DATA FLOWS</w:t>
      </w:r>
    </w:p>
    <w:bookmarkStart w:id="52" w:name="read-patterns"/>
    <w:p>
      <w:pPr>
        <w:pStyle w:val="Heading3"/>
      </w:pPr>
      <w:r>
        <w:rPr>
          <w:color w:val="FF5F00"/>
        </w:rPr>
        <w:t xml:space="preserve">5.1 Read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238"/>
        <w:gridCol w:w="1893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Tables Read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</w:t>
            </w:r>
          </w:p>
        </w:tc>
        <w:tc>
          <w:tcPr/>
          <w:p>
            <w:pPr>
              <w:pStyle w:val="Compact"/>
            </w:pPr>
            <w:r>
              <w:t xml:space="preserve">eap_environment_config, 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  <w:tc>
          <w:tcPr/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Routing</w:t>
            </w:r>
          </w:p>
        </w:tc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  <w:tc>
          <w:tcPr/>
          <w:p>
            <w:pPr>
              <w:pStyle w:val="Compact"/>
            </w:pPr>
            <w:r>
              <w:t xml:space="preserve">Scan (small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Lookup</w:t>
            </w:r>
          </w:p>
        </w:tc>
        <w:tc>
          <w:tcPr/>
          <w:p>
            <w:pPr>
              <w:pStyle w:val="Compact"/>
            </w:pPr>
            <w:r>
              <w:t xml:space="preserve">mpa_benchmark, mpa_vertical, mpa_channel, mpa_kpi</w:t>
            </w:r>
          </w:p>
        </w:tc>
        <w:tc>
          <w:tcPr/>
          <w:p>
            <w:pPr>
              <w:pStyle w:val="Compact"/>
            </w:pPr>
            <w:r>
              <w:t xml:space="preserve">Per analysis</w:t>
            </w:r>
          </w:p>
        </w:tc>
        <w:tc>
          <w:tcPr/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Retrieve</w:t>
            </w:r>
          </w:p>
        </w:tc>
        <w:tc>
          <w:tcPr/>
          <w:p>
            <w:pPr>
              <w:pStyle w:val="Compact"/>
            </w:pPr>
            <w:r>
              <w:t xml:space="preserve">eap_session, mpa_session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  <w:tc>
          <w:tcPr/>
          <w:p>
            <w:pPr>
              <w:pStyle w:val="Compact"/>
            </w:pPr>
            <w:r>
              <w:t xml:space="preserve">Indexed lookup</w:t>
            </w:r>
          </w:p>
        </w:tc>
      </w:tr>
    </w:tbl>
    <w:bookmarkEnd w:id="52"/>
    <w:bookmarkStart w:id="53" w:name="write-patterns"/>
    <w:p>
      <w:pPr>
        <w:pStyle w:val="Heading3"/>
      </w:pPr>
      <w:r>
        <w:rPr>
          <w:color w:val="FF5F00"/>
        </w:rPr>
        <w:t xml:space="preserve">5.2 Write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2586"/>
        <w:gridCol w:w="1777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Tables Written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  <w:tc>
          <w:tcPr/>
          <w:p>
            <w:pPr>
              <w:pStyle w:val="Compact"/>
            </w:pPr>
            <w:r>
              <w:t xml:space="preserve">Per capability call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eap_session, mpa_session</w:t>
            </w:r>
          </w:p>
        </w:tc>
        <w:tc>
          <w:tcPr/>
          <w:p>
            <w:pPr>
              <w:pStyle w:val="Compact"/>
            </w:pPr>
            <w:r>
              <w:t xml:space="preserve">Per conversation</w:t>
            </w:r>
          </w:p>
        </w:tc>
        <w:tc>
          <w:tcPr/>
          <w:p>
            <w:pPr>
              <w:pStyle w:val="Compact"/>
            </w:pPr>
            <w:r>
              <w:t xml:space="preserve">Upsert</w:t>
            </w:r>
          </w:p>
        </w:tc>
      </w:tr>
    </w:tbl>
    <w:bookmarkEnd w:id="53"/>
    <w:bookmarkStart w:id="54" w:name="data-flow-diagram"/>
    <w:p>
      <w:pPr>
        <w:pStyle w:val="Heading3"/>
      </w:pPr>
      <w:r>
        <w:rPr>
          <w:color w:val="FF5F00"/>
        </w:rPr>
        <w:t xml:space="preserve">5.3 Data Flow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DATA FLOW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REQUEST                                                                â”‚</w:t>
      </w:r>
      <w:r>
        <w:br/>
      </w:r>
      <w:r>
        <w:rPr>
          <w:rStyle w:val="VerbatimChar"/>
        </w:rPr>
        <w:t xml:space="preserve">â”‚       â”‚                                                                      â”‚</w:t>
      </w:r>
      <w:r>
        <w:br/>
      </w:r>
      <w:r>
        <w:rPr>
          <w:rStyle w:val="VerbatimChar"/>
        </w:rPr>
        <w:t xml:space="preserve">â”‚       â–¼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COPILOT STUDIO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1. Read agent routing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 DATAVERSE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â”Œâ”€â”€â”€â”€â”€â”€â”€â”€â”€â”€â”€â”€â”€â”€â”€â”€â”€â” â”‚       â”‚</w:t>
      </w:r>
      <w:r>
        <w:br/>
      </w:r>
      <w:r>
        <w:rPr>
          <w:rStyle w:val="VerbatimChar"/>
        </w:rPr>
        <w:t xml:space="preserve">â”‚  â”‚  â”‚  eap_agent  â”‚  â”‚eap_capability_impl  â”‚  â”‚  mpa_benchmark  â”‚ â”‚       â”‚</w:t>
      </w:r>
      <w:r>
        <w:br/>
      </w:r>
      <w:r>
        <w:rPr>
          <w:rStyle w:val="VerbatimChar"/>
        </w:rPr>
        <w:t xml:space="preserve">â”‚  â”‚  â”‚    READ     â”‚  â”‚       READ          â”‚  â”‚      READ       â”‚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â””â”€â”€â”€â”€â”€â”€â”€â”€â”€â”€â”€â”€â”€â”€â”€â”€â”€â”˜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                     â”‚       â”‚</w:t>
      </w:r>
      <w:r>
        <w:br/>
      </w:r>
      <w:r>
        <w:rPr>
          <w:rStyle w:val="VerbatimChar"/>
        </w:rPr>
        <w:t xml:space="preserve">â”‚  â”‚  â”‚ eap_session â”‚  â”‚   eap_telemetry     â”‚                       â”‚       â”‚</w:t>
      </w:r>
      <w:r>
        <w:br/>
      </w:r>
      <w:r>
        <w:rPr>
          <w:rStyle w:val="VerbatimChar"/>
        </w:rPr>
        <w:t xml:space="preserve">â”‚  â”‚  â”‚ READ/WRITE  â”‚  â”‚       WRITE         â”‚                    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2. Retrieve knowledge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SHAREPOINT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      â”‚</w:t>
      </w:r>
      <w:r>
        <w:br/>
      </w:r>
      <w:r>
        <w:rPr>
          <w:rStyle w:val="VerbatimChar"/>
        </w:rPr>
        <w:t xml:space="preserve">â”‚  â”‚  â”‚              KNOWLEDGE BASE (READ ONLY)                  â”‚   â”‚       â”‚</w:t>
      </w:r>
      <w:r>
        <w:br/>
      </w:r>
      <w:r>
        <w:rPr>
          <w:rStyle w:val="VerbatimChar"/>
        </w:rPr>
        <w:t xml:space="preserve">â”‚  â”‚  â”‚   - Agent instructions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Core KB files    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Deep module files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3. Execute capability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 AI BUILDER    â”‚                                                        â”‚</w:t>
      </w:r>
      <w:r>
        <w:br/>
      </w:r>
      <w:r>
        <w:rPr>
          <w:rStyle w:val="VerbatimChar"/>
        </w:rPr>
        <w:t xml:space="preserve">â”‚  â”‚   (PROCESSING) 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4. Return response   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     USER RESPONSE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Start w:id="59" w:name="data-governance"/>
    <w:p>
      <w:pPr>
        <w:pStyle w:val="Heading2"/>
      </w:pPr>
      <w:r>
        <w:rPr>
          <w:color w:val="FF5F00"/>
        </w:rPr>
        <w:t xml:space="preserve">6. DATA GOVERNANCE</w:t>
      </w:r>
    </w:p>
    <w:bookmarkStart w:id="56" w:name="data-stewardship"/>
    <w:p>
      <w:pPr>
        <w:pStyle w:val="Heading3"/>
      </w:pPr>
      <w:r>
        <w:rPr>
          <w:color w:val="FF5F00"/>
        </w:rPr>
        <w:t xml:space="preserve">6.1 Data Stewardship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8"/>
        <w:gridCol w:w="246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Domain</w:t>
            </w:r>
          </w:p>
        </w:tc>
        <w:tc>
          <w:tcPr/>
          <w:p>
            <w:pPr>
              <w:pStyle w:val="Compact"/>
            </w:pPr>
            <w:r>
              <w:t xml:space="preserve">Steward 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Platform</w:t>
            </w:r>
          </w:p>
        </w:tc>
        <w:tc>
          <w:tcPr/>
          <w:p>
            <w:pPr>
              <w:pStyle w:val="Compact"/>
            </w:pPr>
            <w:r>
              <w:t xml:space="preserve">Platform Administrator</w:t>
            </w:r>
          </w:p>
        </w:tc>
        <w:tc>
          <w:tcPr/>
          <w:p>
            <w:pPr>
              <w:pStyle w:val="Compact"/>
            </w:pPr>
            <w:r>
              <w:t xml:space="preserve">Agent registry, capabilities,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 Reference</w:t>
            </w:r>
          </w:p>
        </w:tc>
        <w:tc>
          <w:tcPr/>
          <w:p>
            <w:pPr>
              <w:pStyle w:val="Compact"/>
            </w:pPr>
            <w:r>
              <w:t xml:space="preserve">Domain Expert</w:t>
            </w:r>
          </w:p>
        </w:tc>
        <w:tc>
          <w:tcPr/>
          <w:p>
            <w:pPr>
              <w:pStyle w:val="Compact"/>
            </w:pPr>
            <w:r>
              <w:t xml:space="preserve">Benchmarks, channels, KPIs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Automatic management,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Monitoring, retention, 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KB content accuracy, updates</w:t>
            </w:r>
          </w:p>
        </w:tc>
      </w:tr>
    </w:tbl>
    <w:bookmarkEnd w:id="56"/>
    <w:bookmarkStart w:id="57" w:name="data-ownership"/>
    <w:p>
      <w:pPr>
        <w:pStyle w:val="Heading3"/>
      </w:pPr>
      <w:r>
        <w:rPr>
          <w:color w:val="FF5F00"/>
        </w:rPr>
        <w:t xml:space="preserve">6.2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1352"/>
        <w:gridCol w:w="3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 Category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Update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(eap_agent, eap_capability)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Platform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(mpa_benchmark, mpa_channel)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  <w:tc>
          <w:tcPr/>
          <w:p>
            <w:pPr>
              <w:pStyle w:val="Compact"/>
            </w:pPr>
            <w:r>
              <w:t xml:space="preserve">Domain Expert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Transactional (eap_session, eap_telemetry)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Content Team</w:t>
            </w:r>
          </w:p>
        </w:tc>
        <w:tc>
          <w:tcPr/>
          <w:p>
            <w:pPr>
              <w:pStyle w:val="Compact"/>
            </w:pPr>
            <w:r>
              <w:t xml:space="preserve">Content Manager</w:t>
            </w:r>
          </w:p>
        </w:tc>
      </w:tr>
    </w:tbl>
    <w:bookmarkEnd w:id="57"/>
    <w:bookmarkStart w:id="58" w:name="change-management"/>
    <w:p>
      <w:pPr>
        <w:pStyle w:val="Heading3"/>
      </w:pPr>
      <w:r>
        <w:rPr>
          <w:color w:val="FF5F00"/>
        </w:rPr>
        <w:t xml:space="preserve">6.3 Change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3670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Approval Required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Change</w:t>
            </w:r>
          </w:p>
        </w:tc>
        <w:tc>
          <w:tcPr/>
          <w:p>
            <w:pPr>
              <w:pStyle w:val="Compact"/>
            </w:pPr>
            <w:r>
              <w:t xml:space="preserve">Architecture Review</w:t>
            </w:r>
          </w:p>
        </w:tc>
        <w:tc>
          <w:tcPr/>
          <w:p>
            <w:pPr>
              <w:pStyle w:val="Compact"/>
            </w:pPr>
            <w:r>
              <w:t xml:space="preserve">RFC â†’ Review â†’ Implement â†’ Test â†’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 Update</w:t>
            </w:r>
          </w:p>
        </w:tc>
        <w:tc>
          <w:tcPr/>
          <w:p>
            <w:pPr>
              <w:pStyle w:val="Compact"/>
            </w:pPr>
            <w:r>
              <w:t xml:space="preserve">Domain Expert</w:t>
            </w:r>
          </w:p>
        </w:tc>
        <w:tc>
          <w:tcPr/>
          <w:p>
            <w:pPr>
              <w:pStyle w:val="Compact"/>
            </w:pPr>
            <w:r>
              <w:t xml:space="preserve">Request â†’ Validate â†’ Import â†’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Change</w:t>
            </w:r>
          </w:p>
        </w:tc>
        <w:tc>
          <w:tcPr/>
          <w:p>
            <w:pPr>
              <w:pStyle w:val="Compact"/>
            </w:pPr>
            <w:r>
              <w:t xml:space="preserve">Platform Admin</w:t>
            </w:r>
          </w:p>
        </w:tc>
        <w:tc>
          <w:tcPr/>
          <w:p>
            <w:pPr>
              <w:pStyle w:val="Compact"/>
            </w:pPr>
            <w:r>
              <w:t xml:space="preserve">Request â†’ Test â†’ Deploy â†’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Content Update</w:t>
            </w:r>
          </w:p>
        </w:tc>
        <w:tc>
          <w:tcPr/>
          <w:p>
            <w:pPr>
              <w:pStyle w:val="Compact"/>
            </w:pPr>
            <w: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Draft â†’ Review â†’ Publish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3" w:name="data-quality"/>
    <w:p>
      <w:pPr>
        <w:pStyle w:val="Heading2"/>
      </w:pPr>
      <w:r>
        <w:rPr>
          <w:color w:val="FF5F00"/>
        </w:rPr>
        <w:t xml:space="preserve">7. DATA QUALITY</w:t>
      </w:r>
    </w:p>
    <w:bookmarkStart w:id="60" w:name="quality-rules"/>
    <w:p>
      <w:pPr>
        <w:pStyle w:val="Heading3"/>
      </w:pPr>
      <w:r>
        <w:rPr>
          <w:color w:val="FF5F00"/>
        </w:rPr>
        <w:t xml:space="preserve">7.1 Quality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Unique agent_code</w:t>
            </w:r>
          </w:p>
        </w:tc>
        <w:tc>
          <w:tcPr/>
          <w:p>
            <w:pPr>
              <w:pStyle w:val="Compact"/>
            </w:pPr>
            <w:r>
              <w:t xml:space="preserve">Database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Valid agent_code reference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One active per capability+environment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Valid vertical/channel/kpi references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eap_telemetry</w:t>
            </w:r>
          </w:p>
        </w:tc>
        <w:tc>
          <w:tcPr/>
          <w:p>
            <w:pPr>
              <w:pStyle w:val="Compact"/>
            </w:pPr>
            <w:r>
              <w:t xml:space="preserve">Required timestamp</w:t>
            </w:r>
          </w:p>
        </w:tc>
        <w:tc>
          <w:tcPr/>
          <w:p>
            <w:pPr>
              <w:pStyle w:val="Compact"/>
            </w:pPr>
            <w:r>
              <w:t xml:space="preserve">Database constraint</w:t>
            </w:r>
          </w:p>
        </w:tc>
      </w:tr>
    </w:tbl>
    <w:bookmarkEnd w:id="60"/>
    <w:bookmarkStart w:id="61" w:name="data-validation"/>
    <w:p>
      <w:pPr>
        <w:pStyle w:val="Heading3"/>
      </w:pPr>
      <w:r>
        <w:rPr>
          <w:color w:val="FF5F00"/>
        </w:rPr>
        <w:t xml:space="preserve">7.2 Data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Type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Validation</w:t>
            </w:r>
          </w:p>
        </w:tc>
        <w:tc>
          <w:tcPr/>
          <w:p>
            <w:pPr>
              <w:pStyle w:val="Compact"/>
            </w:pPr>
            <w:r>
              <w:t xml:space="preserve">Dataverse constraints</w:t>
            </w:r>
          </w:p>
        </w:tc>
        <w:tc>
          <w:tcPr/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Integrity</w:t>
            </w:r>
          </w:p>
        </w:tc>
        <w:tc>
          <w:tcPr/>
          <w:p>
            <w:pPr>
              <w:pStyle w:val="Compac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Completeness</w:t>
            </w:r>
          </w:p>
        </w:tc>
        <w:tc>
          <w:tcPr/>
          <w:p>
            <w:pPr>
              <w:pStyle w:val="Compact"/>
            </w:pPr>
            <w:r>
              <w:t xml:space="preserve">Power Automate checks</w:t>
            </w:r>
          </w:p>
        </w:tc>
        <w:tc>
          <w:tcPr/>
          <w:p>
            <w:pPr>
              <w:pStyle w:val="Compact"/>
            </w:pPr>
            <w:r>
              <w:t xml:space="preserve">Import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 Checks</w:t>
            </w:r>
          </w:p>
        </w:tc>
        <w:tc>
          <w:tcPr/>
          <w:p>
            <w:pPr>
              <w:pStyle w:val="Compact"/>
            </w:pPr>
            <w:r>
              <w:t xml:space="preserve">Scheduled validation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</w:tr>
    </w:tbl>
    <w:bookmarkEnd w:id="61"/>
    <w:bookmarkStart w:id="62" w:name="quality-metrics"/>
    <w:p>
      <w:pPr>
        <w:pStyle w:val="Heading3"/>
      </w:pPr>
      <w:r>
        <w:rPr>
          <w:color w:val="FF5F00"/>
        </w:rPr>
        <w:t xml:space="preserve">7.3 Quality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 Completeness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Required fields populated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Key Validity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Valid 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Rate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Unique constraint violations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Data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  <w:tc>
          <w:tcPr/>
          <w:p>
            <w:pPr>
              <w:pStyle w:val="Compact"/>
            </w:pPr>
            <w:r>
              <w:t xml:space="preserve">Records not updated per retention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6" w:name="seed-data-management"/>
    <w:p>
      <w:pPr>
        <w:pStyle w:val="Heading2"/>
      </w:pPr>
      <w:r>
        <w:rPr>
          <w:color w:val="FF5F00"/>
        </w:rPr>
        <w:t xml:space="preserve">8. SEED DATA MANAGEMENT</w:t>
      </w:r>
    </w:p>
    <w:bookmarkStart w:id="64" w:name="seed-data-files"/>
    <w:p>
      <w:pPr>
        <w:pStyle w:val="Heading3"/>
      </w:pPr>
      <w:r>
        <w:rPr>
          <w:color w:val="FF5F00"/>
        </w:rPr>
        <w:t xml:space="preserve">8.1 Seed Data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2359"/>
        <w:gridCol w:w="1516"/>
        <w:gridCol w:w="3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Target Table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Update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eap_agent_seed.csv</w:t>
            </w:r>
          </w:p>
        </w:tc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eap_capability_seed.csv</w:t>
            </w:r>
          </w:p>
        </w:tc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eap_capability_impl_mastercard.csv</w:t>
            </w:r>
          </w:p>
        </w:tc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~50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mpa_channel_seed.csv</w:t>
            </w:r>
          </w:p>
        </w:tc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mpa_kpi_seed.csv</w:t>
            </w:r>
          </w:p>
        </w:tc>
        <w:tc>
          <w:tcPr/>
          <w:p>
            <w:pPr>
              <w:pStyle w:val="Compact"/>
            </w:pPr>
            <w:r>
              <w:t xml:space="preserve">mpa_kpi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mpa_vertical_seed.csv</w:t>
            </w:r>
          </w:p>
        </w:tc>
        <w:tc>
          <w:tcPr/>
          <w:p>
            <w:pPr>
              <w:pStyle w:val="Compact"/>
            </w:pPr>
            <w:r>
              <w:t xml:space="preserve">mpa_vertical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Annually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mpa_benchmark_seed.csv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708+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mpa_partner_seed.csv</w:t>
            </w:r>
          </w:p>
        </w:tc>
        <w:tc>
          <w:tcPr/>
          <w:p>
            <w:pPr>
              <w:pStyle w:val="Compact"/>
            </w:pPr>
            <w:r>
              <w:t xml:space="preserve">mpa_partner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</w:tbl>
    <w:bookmarkEnd w:id="64"/>
    <w:bookmarkStart w:id="65" w:name="import-process"/>
    <w:p>
      <w:pPr>
        <w:pStyle w:val="Heading3"/>
      </w:pPr>
      <w:r>
        <w:rPr>
          <w:color w:val="FF5F00"/>
        </w:rPr>
        <w:t xml:space="preserve">8.2 Import Process</w:t>
      </w:r>
    </w:p>
    <w:p>
      <w:pPr>
        <w:pStyle w:val="SourceCode"/>
      </w:pPr>
      <w:r>
        <w:rPr>
          <w:rStyle w:val="VerbatimChar"/>
        </w:rPr>
        <w:t xml:space="preserve">SEED DATA IMPORT SEQUENCE</w:t>
      </w:r>
      <w:r>
        <w:br/>
      </w:r>
      <w:r>
        <w:br/>
      </w:r>
      <w:r>
        <w:rPr>
          <w:rStyle w:val="VerbatimChar"/>
        </w:rPr>
        <w:t xml:space="preserve">1. CLEAR EXISTING (if full refresh)</w:t>
      </w:r>
      <w:r>
        <w:br/>
      </w:r>
      <w:r>
        <w:rPr>
          <w:rStyle w:val="VerbatimChar"/>
        </w:rPr>
        <w:t xml:space="preserve">   - Disable relationships</w:t>
      </w:r>
      <w:r>
        <w:br/>
      </w:r>
      <w:r>
        <w:rPr>
          <w:rStyle w:val="VerbatimChar"/>
        </w:rPr>
        <w:t xml:space="preserve">   - Truncate target tables</w:t>
      </w:r>
      <w:r>
        <w:br/>
      </w:r>
      <w:r>
        <w:rPr>
          <w:rStyle w:val="VerbatimChar"/>
        </w:rPr>
        <w:t xml:space="preserve">   - Re-enable relationships</w:t>
      </w:r>
      <w:r>
        <w:br/>
      </w:r>
      <w:r>
        <w:br/>
      </w:r>
      <w:r>
        <w:rPr>
          <w:rStyle w:val="VerbatimChar"/>
        </w:rPr>
        <w:t xml:space="preserve">2. IMPORT ORDER (dependency-aware)</w:t>
      </w:r>
      <w:r>
        <w:br/>
      </w:r>
      <w:r>
        <w:rPr>
          <w:rStyle w:val="VerbatimChar"/>
        </w:rPr>
        <w:t xml:space="preserve">   Tier 1 (no dependencies):</w:t>
      </w:r>
      <w:r>
        <w:br/>
      </w:r>
      <w:r>
        <w:rPr>
          <w:rStyle w:val="VerbatimChar"/>
        </w:rPr>
        <w:t xml:space="preserve">   - eap_agent</w:t>
      </w:r>
      <w:r>
        <w:br/>
      </w:r>
      <w:r>
        <w:rPr>
          <w:rStyle w:val="VerbatimChar"/>
        </w:rPr>
        <w:t xml:space="preserve">   - eap_environment_config</w:t>
      </w:r>
      <w:r>
        <w:br/>
      </w:r>
      <w:r>
        <w:rPr>
          <w:rStyle w:val="VerbatimChar"/>
        </w:rPr>
        <w:t xml:space="preserve">   - mpa_vertical</w:t>
      </w:r>
      <w:r>
        <w:br/>
      </w:r>
      <w:r>
        <w:rPr>
          <w:rStyle w:val="VerbatimChar"/>
        </w:rPr>
        <w:t xml:space="preserve">   - mpa_channel</w:t>
      </w:r>
      <w:r>
        <w:br/>
      </w:r>
      <w:r>
        <w:rPr>
          <w:rStyle w:val="VerbatimChar"/>
        </w:rPr>
        <w:t xml:space="preserve">   - mpa_kpi</w:t>
      </w:r>
      <w:r>
        <w:br/>
      </w:r>
      <w:r>
        <w:rPr>
          <w:rStyle w:val="VerbatimChar"/>
        </w:rPr>
        <w:t xml:space="preserve">   - mpa_partner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2 (depends on Tier 1):</w:t>
      </w:r>
      <w:r>
        <w:br/>
      </w:r>
      <w:r>
        <w:rPr>
          <w:rStyle w:val="VerbatimChar"/>
        </w:rPr>
        <w:t xml:space="preserve">   - eap_capability</w:t>
      </w:r>
      <w:r>
        <w:br/>
      </w:r>
      <w:r>
        <w:rPr>
          <w:rStyle w:val="VerbatimChar"/>
        </w:rPr>
        <w:t xml:space="preserve">   - eap_prompt</w:t>
      </w:r>
      <w:r>
        <w:br/>
      </w:r>
      <w:r>
        <w:rPr>
          <w:rStyle w:val="VerbatimChar"/>
        </w:rPr>
        <w:t xml:space="preserve">   - mpa_benchmark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3 (depends on Tier 2):</w:t>
      </w:r>
      <w:r>
        <w:br/>
      </w:r>
      <w:r>
        <w:rPr>
          <w:rStyle w:val="VerbatimChar"/>
        </w:rPr>
        <w:t xml:space="preserve">   - eap_capability_implementation</w:t>
      </w:r>
      <w:r>
        <w:br/>
      </w:r>
      <w:r>
        <w:rPr>
          <w:rStyle w:val="VerbatimChar"/>
        </w:rPr>
        <w:t xml:space="preserve">   - eap_test_case</w:t>
      </w:r>
      <w:r>
        <w:br/>
      </w:r>
      <w:r>
        <w:br/>
      </w:r>
      <w:r>
        <w:rPr>
          <w:rStyle w:val="VerbatimChar"/>
        </w:rPr>
        <w:t xml:space="preserve">3. VALIDATION</w:t>
      </w:r>
      <w:r>
        <w:br/>
      </w:r>
      <w:r>
        <w:rPr>
          <w:rStyle w:val="VerbatimChar"/>
        </w:rPr>
        <w:t xml:space="preserve">   - Record counts match expected</w:t>
      </w:r>
      <w:r>
        <w:br/>
      </w:r>
      <w:r>
        <w:rPr>
          <w:rStyle w:val="VerbatimChar"/>
        </w:rPr>
        <w:t xml:space="preserve">   - Foreign key references valid</w:t>
      </w:r>
      <w:r>
        <w:br/>
      </w:r>
      <w:r>
        <w:rPr>
          <w:rStyle w:val="VerbatimChar"/>
        </w:rPr>
        <w:t xml:space="preserve">   - Unique constraints satisfied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70" w:name="backup-recovery"/>
    <w:p>
      <w:pPr>
        <w:pStyle w:val="Heading2"/>
      </w:pPr>
      <w:r>
        <w:rPr>
          <w:color w:val="FF5F00"/>
        </w:rPr>
        <w:t xml:space="preserve">9. BACKUP &amp; RECOVERY</w:t>
      </w:r>
    </w:p>
    <w:bookmarkStart w:id="67" w:name="backup-strategy"/>
    <w:p>
      <w:pPr>
        <w:pStyle w:val="Heading3"/>
      </w:pPr>
      <w:r>
        <w:rPr>
          <w:color w:val="FF5F00"/>
        </w:rPr>
        <w:t xml:space="preserve">9.1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Export</w:t>
            </w:r>
          </w:p>
        </w:tc>
        <w:tc>
          <w:tcPr/>
          <w:p>
            <w:pPr>
              <w:pStyle w:val="Compact"/>
            </w:pPr>
            <w:r>
              <w:t xml:space="preserve">Solution export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File backup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7"/>
    <w:bookmarkStart w:id="68" w:name="recovery-procedures"/>
    <w:p>
      <w:pPr>
        <w:pStyle w:val="Heading3"/>
      </w:pPr>
      <w:r>
        <w:rPr>
          <w:color w:val="FF5F00"/>
        </w:rPr>
        <w:t xml:space="preserve">9.2 Recovery Procedures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420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Recovery Method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Accidental deletion (single record)</w:t>
            </w:r>
          </w:p>
        </w:tc>
        <w:tc>
          <w:tcPr/>
          <w:p>
            <w:pPr>
              <w:pStyle w:val="Compact"/>
            </w:pPr>
            <w:r>
              <w:t xml:space="preserve">Manual restore from backup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corruption</w:t>
            </w:r>
          </w:p>
        </w:tc>
        <w:tc>
          <w:tcPr/>
          <w:p>
            <w:pPr>
              <w:pStyle w:val="Compact"/>
            </w:pPr>
            <w:r>
              <w:t xml:space="preserve">Point-in-time restore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environment failure</w:t>
            </w:r>
          </w:p>
        </w:tc>
        <w:tc>
          <w:tcPr/>
          <w:p>
            <w:pPr>
              <w:pStyle w:val="Compact"/>
            </w:pPr>
            <w:r>
              <w:t xml:space="preserve">Microsoft support escalation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error</w:t>
            </w:r>
          </w:p>
        </w:tc>
        <w:tc>
          <w:tcPr/>
          <w:p>
            <w:pPr>
              <w:pStyle w:val="Compact"/>
            </w:pPr>
            <w:r>
              <w:t xml:space="preserve">Solution re-import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</w:tbl>
    <w:bookmarkEnd w:id="68"/>
    <w:bookmarkStart w:id="69" w:name="disaster-recovery"/>
    <w:p>
      <w:pPr>
        <w:pStyle w:val="Heading3"/>
      </w:pPr>
      <w:r>
        <w:rPr>
          <w:color w:val="FF5F00"/>
        </w:rPr>
        <w:t xml:space="preserve">9.3 Disaster Recovery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Continuous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 (Recovery Time Objective)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Restore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Redundancy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69"/>
    <w:bookmarkEnd w:id="70"/>
    <w:bookmarkEnd w:id="71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