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342b8a2b8ee87a6eb520f605ecd1f7c67e2b48a"/>
    <w:p>
      <w:pPr>
        <w:pStyle w:val="Heading1"/>
      </w:pPr>
      <w:r>
        <w:t xml:space="preserve">COMPLETE 24-SLIDE PREMIUM TARGETING PRESENTATION</w:t>
      </w:r>
    </w:p>
    <w:bookmarkStart w:id="9" w:name="X4c182b4dd9d9102606f5aad8f25dc0a7eb4e8b1"/>
    <w:p>
      <w:pPr>
        <w:pStyle w:val="Heading2"/>
      </w:pPr>
      <w:r>
        <w:t xml:space="preserve">Executive Banking Leadership - 40 Minutes</w:t>
      </w:r>
    </w:p>
    <w:p>
      <w:pPr>
        <w:pStyle w:val="FirstParagraph"/>
      </w:pPr>
      <w:r>
        <w:rPr>
          <w:b/>
          <w:bCs/>
        </w:rPr>
        <w:t xml:space="preserve">Core Narrative</w:t>
      </w:r>
      <w:r>
        <w:t xml:space="preserve">:</w:t>
      </w:r>
      <w:r>
        <w:t xml:space="preserve"> </w:t>
      </w:r>
      <w:r>
        <w:t xml:space="preserve">“You don’t need more data – you need to ask different questions of the data you already have.”</w:t>
      </w:r>
    </w:p>
    <w:bookmarkEnd w:id="9"/>
    <w:bookmarkStart w:id="10" w:name="Xb56b7e8dc4f76eae41942c9070dbab86218262c"/>
    <w:p>
      <w:pPr>
        <w:pStyle w:val="Heading2"/>
      </w:pPr>
      <w:r>
        <w:t xml:space="preserve">SLIDE 1:</w:t>
      </w:r>
      <w:r>
        <w:t xml:space="preserve"> </w:t>
      </w:r>
      <w:r>
        <w:t xml:space="preserve">“Premium Targeting Has Failed to Deliver on Its Promise”</w:t>
      </w:r>
    </w:p>
    <w:p>
      <w:pPr>
        <w:pStyle w:val="FirstParagraph"/>
      </w:pPr>
      <w:r>
        <w:rPr>
          <w:b/>
          <w:bCs/>
        </w:rPr>
        <w:t xml:space="preserve">Visual</w:t>
      </w:r>
      <w:r>
        <w:t xml:space="preserve">: Performance plateau chart showing flat ROI despite increased investment over time</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01"/>
        </w:numPr>
      </w:pPr>
      <w:r>
        <w:t xml:space="preserve">Premium targeting initiatives consistently plateau at 15-20% improvement ceiling</w:t>
      </w:r>
    </w:p>
    <w:p>
      <w:pPr>
        <w:pStyle w:val="Compact"/>
        <w:numPr>
          <w:ilvl w:val="0"/>
          <w:numId w:val="1001"/>
        </w:numPr>
      </w:pPr>
      <w:r>
        <w:t xml:space="preserve">$50M+ annual premium targeting budgets delivering diminishing returns</w:t>
      </w:r>
    </w:p>
    <w:p>
      <w:pPr>
        <w:pStyle w:val="Compact"/>
        <w:numPr>
          <w:ilvl w:val="0"/>
          <w:numId w:val="1001"/>
        </w:numPr>
      </w:pPr>
      <w:r>
        <w:t xml:space="preserve">Multiple vendor partnerships, data enrichment, and AI implementations show minimal impact</w:t>
      </w:r>
    </w:p>
    <w:p>
      <w:pPr>
        <w:pStyle w:val="Compact"/>
        <w:numPr>
          <w:ilvl w:val="0"/>
          <w:numId w:val="1001"/>
        </w:numPr>
      </w:pPr>
      <w:r>
        <w:t xml:space="preserve">Industry-wide recognition that current approaches have hit performance limits</w:t>
      </w:r>
    </w:p>
    <w:p>
      <w:pPr>
        <w:pStyle w:val="FirstParagraph"/>
      </w:pPr>
      <w:r>
        <w:rPr>
          <w:b/>
          <w:bCs/>
        </w:rPr>
        <w:t xml:space="preserve">Key Statistics</w:t>
      </w:r>
      <w:r>
        <w:t xml:space="preserve">: 73% of premium targeting initiatives fail to exceed 20% performance improvement; Average 2.3-year plateau period across major banks</w:t>
      </w:r>
    </w:p>
    <w:p>
      <w:pPr>
        <w:pStyle w:val="BodyText"/>
      </w:pPr>
      <w:r>
        <w:rPr>
          <w:b/>
          <w:bCs/>
        </w:rPr>
        <w:t xml:space="preserve">Talk Track</w:t>
      </w:r>
      <w:r>
        <w:t xml:space="preserve">:</w:t>
      </w:r>
      <w:r>
        <w:t xml:space="preserve"> </w:t>
      </w:r>
      <w:r>
        <w:t xml:space="preserve">“Let’s start with an uncomfortable truth: Premium targeting has failed to deliver on its promise. Despite massive investments – we’re talking $50M+ annual budgets at major institutions – most premium targeting initiatives hit a performance plateau around 15-20% improvement and stay there. You’ve tried multiple data vendors, AI implementations, advanced segmentation, and the results remain frustratingly similar. This isn’t about working harder. This isn’t about your team’s capabilities. This is about a fundamental flaw in how the industry approaches premium targeting that we need to address directly.”</w:t>
      </w:r>
    </w:p>
    <w:bookmarkEnd w:id="10"/>
    <w:bookmarkStart w:id="11" w:name="X724f8e6ff98e123f59e209af5f2da9f24092263"/>
    <w:p>
      <w:pPr>
        <w:pStyle w:val="Heading2"/>
      </w:pPr>
      <w:r>
        <w:t xml:space="preserve">SLIDE 2:</w:t>
      </w:r>
      <w:r>
        <w:t xml:space="preserve"> </w:t>
      </w:r>
      <w:r>
        <w:t xml:space="preserve">“Why Premium Targeting Failed: The Illusion of Differentiation”</w:t>
      </w:r>
    </w:p>
    <w:p>
      <w:pPr>
        <w:pStyle w:val="FirstParagraph"/>
      </w:pPr>
      <w:r>
        <w:rPr>
          <w:b/>
          <w:bCs/>
        </w:rPr>
        <w:t xml:space="preserve">Visual</w:t>
      </w:r>
      <w:r>
        <w:t xml:space="preserve">: Timeline showing vendor consolidation and identical targeting approaches across institutions</w:t>
      </w:r>
    </w:p>
    <w:p>
      <w:pPr>
        <w:pStyle w:val="BodyText"/>
      </w:pPr>
      <w:r>
        <w:rPr>
          <w:b/>
          <w:bCs/>
        </w:rPr>
        <w:t xml:space="preserve">Duration</w:t>
      </w:r>
      <w:r>
        <w:t xml:space="preserve">: 3 minutes</w:t>
      </w:r>
    </w:p>
    <w:p>
      <w:pPr>
        <w:pStyle w:val="BodyText"/>
      </w:pPr>
      <w:r>
        <w:rPr>
          <w:b/>
          <w:bCs/>
        </w:rPr>
        <w:t xml:space="preserve">Bullet Points:</w:t>
      </w:r>
    </w:p>
    <w:p>
      <w:pPr>
        <w:pStyle w:val="Compact"/>
        <w:numPr>
          <w:ilvl w:val="0"/>
          <w:numId w:val="1002"/>
        </w:numPr>
      </w:pPr>
      <w:r>
        <w:t xml:space="preserve">Everyone is buying the same</w:t>
      </w:r>
      <w:r>
        <w:t xml:space="preserve"> </w:t>
      </w:r>
      <w:r>
        <w:t xml:space="preserve">“premium”</w:t>
      </w:r>
      <w:r>
        <w:t xml:space="preserve"> </w:t>
      </w:r>
      <w:r>
        <w:t xml:space="preserve">audiences from the same 3-4 vendors</w:t>
      </w:r>
    </w:p>
    <w:p>
      <w:pPr>
        <w:pStyle w:val="Compact"/>
        <w:numPr>
          <w:ilvl w:val="0"/>
          <w:numId w:val="1002"/>
        </w:numPr>
      </w:pPr>
      <w:r>
        <w:t xml:space="preserve">85%+ customer overlap in</w:t>
      </w:r>
      <w:r>
        <w:t xml:space="preserve"> </w:t>
      </w:r>
      <w:r>
        <w:t xml:space="preserve">“premium”</w:t>
      </w:r>
      <w:r>
        <w:t xml:space="preserve"> </w:t>
      </w:r>
      <w:r>
        <w:t xml:space="preserve">segments across all major banks</w:t>
      </w:r>
    </w:p>
    <w:p>
      <w:pPr>
        <w:pStyle w:val="Compact"/>
        <w:numPr>
          <w:ilvl w:val="0"/>
          <w:numId w:val="1002"/>
        </w:numPr>
      </w:pPr>
      <w:r>
        <w:t xml:space="preserve">Industry standardized on propensity modeling – optimizing for correlation, not causation</w:t>
      </w:r>
    </w:p>
    <w:p>
      <w:pPr>
        <w:pStyle w:val="Compact"/>
        <w:numPr>
          <w:ilvl w:val="0"/>
          <w:numId w:val="1002"/>
        </w:numPr>
      </w:pPr>
      <w:r>
        <w:t xml:space="preserve">Result: We’re all bidding against each other for the same customers using identical logic</w:t>
      </w:r>
    </w:p>
    <w:p>
      <w:pPr>
        <w:pStyle w:val="FirstParagraph"/>
      </w:pPr>
      <w:r>
        <w:rPr>
          <w:b/>
          <w:bCs/>
        </w:rPr>
        <w:t xml:space="preserve">The Root Cause</w:t>
      </w:r>
      <w:r>
        <w:t xml:space="preserve">: What the industry calls</w:t>
      </w:r>
      <w:r>
        <w:t xml:space="preserve"> </w:t>
      </w:r>
      <w:r>
        <w:t xml:space="preserve">“premium targeting”</w:t>
      </w:r>
      <w:r>
        <w:t xml:space="preserve"> </w:t>
      </w:r>
      <w:r>
        <w:t xml:space="preserve">is actually:</w:t>
      </w:r>
    </w:p>
    <w:p>
      <w:pPr>
        <w:pStyle w:val="Compact"/>
        <w:numPr>
          <w:ilvl w:val="0"/>
          <w:numId w:val="1003"/>
        </w:numPr>
      </w:pPr>
      <w:r>
        <w:t xml:space="preserve">Same vendor data (Experian, Acxiom, Epsilon, LiveRamp)</w:t>
      </w:r>
    </w:p>
    <w:p>
      <w:pPr>
        <w:pStyle w:val="Compact"/>
        <w:numPr>
          <w:ilvl w:val="0"/>
          <w:numId w:val="1003"/>
        </w:numPr>
      </w:pPr>
      <w:r>
        <w:t xml:space="preserve">Same modeling approach (propensity-based)</w:t>
      </w:r>
    </w:p>
    <w:p>
      <w:pPr>
        <w:pStyle w:val="Compact"/>
        <w:numPr>
          <w:ilvl w:val="0"/>
          <w:numId w:val="1003"/>
        </w:numPr>
      </w:pPr>
      <w:r>
        <w:t xml:space="preserve">Same optimization logic (highest conversion probability)</w:t>
      </w:r>
    </w:p>
    <w:p>
      <w:pPr>
        <w:pStyle w:val="Compact"/>
        <w:numPr>
          <w:ilvl w:val="0"/>
          <w:numId w:val="1003"/>
        </w:numPr>
      </w:pPr>
      <w:r>
        <w:t xml:space="preserve">Same measurement (attribution rather than incrementality)</w:t>
      </w:r>
    </w:p>
    <w:p>
      <w:pPr>
        <w:pStyle w:val="FirstParagraph"/>
      </w:pPr>
      <w:r>
        <w:rPr>
          <w:b/>
          <w:bCs/>
        </w:rPr>
        <w:t xml:space="preserve">Evidence</w:t>
      </w:r>
      <w:r>
        <w:t xml:space="preserve">: RBC discovered &gt;10x more marketing impact when they stopped targeting high-propensity audiences and focused on causal impact</w:t>
      </w:r>
    </w:p>
    <w:p>
      <w:pPr>
        <w:pStyle w:val="BodyText"/>
      </w:pPr>
      <w:r>
        <w:rPr>
          <w:b/>
          <w:bCs/>
        </w:rPr>
        <w:t xml:space="preserve">Talk Track</w:t>
      </w:r>
      <w:r>
        <w:t xml:space="preserve">:</w:t>
      </w:r>
      <w:r>
        <w:t xml:space="preserve"> </w:t>
      </w:r>
      <w:r>
        <w:t xml:space="preserve">“Here’s why premium targeting failed: We’ve been operating under the illusion of differentiation. Everyone sources</w:t>
      </w:r>
      <w:r>
        <w:t xml:space="preserve"> </w:t>
      </w:r>
      <w:r>
        <w:t xml:space="preserve">‘premium’</w:t>
      </w:r>
      <w:r>
        <w:t xml:space="preserve"> </w:t>
      </w:r>
      <w:r>
        <w:t xml:space="preserve">audiences from the same 3-4 vendors. Everyone uses propensity modeling to identify high-conversion-probability customers. Everyone bids on essentially identical audience segments. The result? We’re competing against each other for the same customers using identical logic. What we call</w:t>
      </w:r>
      <w:r>
        <w:t xml:space="preserve"> </w:t>
      </w:r>
      <w:r>
        <w:t xml:space="preserve">‘premium targeting’</w:t>
      </w:r>
      <w:r>
        <w:t xml:space="preserve"> </w:t>
      </w:r>
      <w:r>
        <w:t xml:space="preserve">is actually commoditized targeting with premium price tags. RBC’s breakthrough came when they realized they weren’t suffering from a data shortage – they were suffering from a logic flaw.”</w:t>
      </w:r>
    </w:p>
    <w:bookmarkEnd w:id="11"/>
    <w:bookmarkStart w:id="12" w:name="X8f97262ea2e5847a20910943a2b708a728e4004"/>
    <w:p>
      <w:pPr>
        <w:pStyle w:val="Heading2"/>
      </w:pPr>
      <w:r>
        <w:t xml:space="preserve">SLIDE 3:</w:t>
      </w:r>
      <w:r>
        <w:t xml:space="preserve"> </w:t>
      </w:r>
      <w:r>
        <w:t xml:space="preserve">“So What Now? Are We Hopeless, Or Is There a Different Paradigm?”</w:t>
      </w:r>
    </w:p>
    <w:p>
      <w:pPr>
        <w:pStyle w:val="FirstParagraph"/>
      </w:pPr>
      <w:r>
        <w:rPr>
          <w:b/>
          <w:bCs/>
        </w:rPr>
        <w:t xml:space="preserve">Visual</w:t>
      </w:r>
      <w:r>
        <w:t xml:space="preserve">: Fork in the road -</w:t>
      </w:r>
      <w:r>
        <w:t xml:space="preserve"> </w:t>
      </w:r>
      <w:r>
        <w:t xml:space="preserve">“Same Failed Approach”</w:t>
      </w:r>
      <w:r>
        <w:t xml:space="preserve"> </w:t>
      </w:r>
      <w:r>
        <w:t xml:space="preserve">vs. </w:t>
      </w:r>
      <w:r>
        <w:t xml:space="preserve">“Breakthrough Paradigm”</w:t>
      </w:r>
    </w:p>
    <w:p>
      <w:pPr>
        <w:pStyle w:val="BodyText"/>
      </w:pPr>
      <w:r>
        <w:rPr>
          <w:b/>
          <w:bCs/>
        </w:rPr>
        <w:t xml:space="preserve">Duration</w:t>
      </w:r>
      <w:r>
        <w:t xml:space="preserve">: 3 minutes</w:t>
      </w:r>
    </w:p>
    <w:p>
      <w:pPr>
        <w:pStyle w:val="BodyText"/>
      </w:pPr>
      <w:r>
        <w:rPr>
          <w:b/>
          <w:bCs/>
        </w:rPr>
        <w:t xml:space="preserve">Bullet Points:</w:t>
      </w:r>
    </w:p>
    <w:p>
      <w:pPr>
        <w:pStyle w:val="Compact"/>
        <w:numPr>
          <w:ilvl w:val="0"/>
          <w:numId w:val="1004"/>
        </w:numPr>
      </w:pPr>
      <w:r>
        <w:t xml:space="preserve">If everyone has the same data and uses the same methods, traditional approaches can’t work</w:t>
      </w:r>
    </w:p>
    <w:p>
      <w:pPr>
        <w:pStyle w:val="Compact"/>
        <w:numPr>
          <w:ilvl w:val="0"/>
          <w:numId w:val="1004"/>
        </w:numPr>
      </w:pPr>
      <w:r>
        <w:t xml:space="preserve">Some organizations ARE achieving breakthrough results – but they operate fundamentally differently</w:t>
      </w:r>
    </w:p>
    <w:p>
      <w:pPr>
        <w:pStyle w:val="Compact"/>
        <w:numPr>
          <w:ilvl w:val="0"/>
          <w:numId w:val="1004"/>
        </w:numPr>
      </w:pPr>
      <w:r>
        <w:t xml:space="preserve">The breakthrough isn’t better data; it’s a completely different system of thinking</w:t>
      </w:r>
    </w:p>
    <w:p>
      <w:pPr>
        <w:pStyle w:val="Compact"/>
        <w:numPr>
          <w:ilvl w:val="0"/>
          <w:numId w:val="1004"/>
        </w:numPr>
      </w:pPr>
      <w:r>
        <w:t xml:space="preserve">Success requires abandoning individual tactics for integrated system optimization</w:t>
      </w:r>
    </w:p>
    <w:p>
      <w:pPr>
        <w:pStyle w:val="FirstParagraph"/>
      </w:pPr>
      <w:r>
        <w:rPr>
          <w:b/>
          <w:bCs/>
        </w:rPr>
        <w:t xml:space="preserve">The Paradigm Shift</w:t>
      </w:r>
      <w:r>
        <w:t xml:space="preserve">: Organizations achieving 150-250% ROI improvements have discovered that premium targeting isn’t a single problem – it’s a system integration challenge requiring four critical pillars:</w:t>
      </w:r>
    </w:p>
    <w:p>
      <w:pPr>
        <w:pStyle w:val="BodyText"/>
      </w:pPr>
      <w:r>
        <w:rPr>
          <w:b/>
          <w:bCs/>
        </w:rPr>
        <w:t xml:space="preserve">Introduce the Four-Pillar Framework:</w:t>
      </w:r>
    </w:p>
    <w:p>
      <w:pPr>
        <w:pStyle w:val="Compact"/>
        <w:numPr>
          <w:ilvl w:val="0"/>
          <w:numId w:val="1005"/>
        </w:numPr>
      </w:pPr>
      <w:r>
        <w:rPr>
          <w:b/>
          <w:bCs/>
        </w:rPr>
        <w:t xml:space="preserve">Audience Redefinition</w:t>
      </w:r>
      <w:r>
        <w:t xml:space="preserve">: Who converts BECAUSE of marketing (causal vs. correlation)</w:t>
      </w:r>
    </w:p>
    <w:p>
      <w:pPr>
        <w:pStyle w:val="Compact"/>
        <w:numPr>
          <w:ilvl w:val="0"/>
          <w:numId w:val="1005"/>
        </w:numPr>
      </w:pPr>
      <w:r>
        <w:rPr>
          <w:b/>
          <w:bCs/>
        </w:rPr>
        <w:t xml:space="preserve">Precision Activation</w:t>
      </w:r>
      <w:r>
        <w:t xml:space="preserve">: Targeting those audiences effectively at scale</w:t>
      </w:r>
    </w:p>
    <w:p>
      <w:pPr>
        <w:pStyle w:val="Compact"/>
        <w:numPr>
          <w:ilvl w:val="0"/>
          <w:numId w:val="1005"/>
        </w:numPr>
      </w:pPr>
      <w:r>
        <w:rPr>
          <w:b/>
          <w:bCs/>
        </w:rPr>
        <w:t xml:space="preserve">Supply Chain Speed</w:t>
      </w:r>
      <w:r>
        <w:t xml:space="preserve">: Operating at the pace of programmatic (100ms decisions)</w:t>
      </w:r>
    </w:p>
    <w:p>
      <w:pPr>
        <w:pStyle w:val="Compact"/>
        <w:numPr>
          <w:ilvl w:val="0"/>
          <w:numId w:val="1005"/>
        </w:numPr>
      </w:pPr>
      <w:r>
        <w:rPr>
          <w:b/>
          <w:bCs/>
        </w:rPr>
        <w:t xml:space="preserve">Acquisition-Retention Integration</w:t>
      </w:r>
      <w:r>
        <w:t xml:space="preserve">: Quantifying how targeting quality compounds over time</w:t>
      </w:r>
    </w:p>
    <w:p>
      <w:pPr>
        <w:pStyle w:val="FirstParagraph"/>
      </w:pPr>
      <w:r>
        <w:rPr>
          <w:b/>
          <w:bCs/>
        </w:rPr>
        <w:t xml:space="preserve">Promise</w:t>
      </w:r>
      <w:r>
        <w:t xml:space="preserve">:</w:t>
      </w:r>
      <w:r>
        <w:t xml:space="preserve"> </w:t>
      </w:r>
      <w:r>
        <w:t xml:space="preserve">“When these four pillars align, organizations see 2-3x performance improvements and create sustainable competitive advantages”</w:t>
      </w:r>
    </w:p>
    <w:p>
      <w:pPr>
        <w:pStyle w:val="BodyText"/>
      </w:pPr>
      <w:r>
        <w:rPr>
          <w:b/>
          <w:bCs/>
        </w:rPr>
        <w:t xml:space="preserve">Talk Track</w:t>
      </w:r>
      <w:r>
        <w:t xml:space="preserve">:</w:t>
      </w:r>
      <w:r>
        <w:t xml:space="preserve"> </w:t>
      </w:r>
      <w:r>
        <w:t xml:space="preserve">“So the question becomes: Are we doomed to plateau performance because everyone has the same data? Or is there a fundamentally different paradigm that works? Here’s what we’ve discovered: The organizations achieving breakthrough results – 150-250% ROI improvements – haven’t solved a single problem. They’ve solved a system integration challenge. They’ve identified four critical pillars that must work together simultaneously. First, they redefine audiences based on causal impact rather than correlation. Second, they activate those insights with precision at scale. Third, they operate at programmatic speed. Fourth, they quantify how targeting quality compounds through retention. When all four pillars align, the results are transformational.”</w:t>
      </w:r>
    </w:p>
    <w:bookmarkEnd w:id="12"/>
    <w:bookmarkStart w:id="13" w:name="X8816a8aff5c93e96ac3742b56320e9ddf70c91a"/>
    <w:p>
      <w:pPr>
        <w:pStyle w:val="Heading2"/>
      </w:pPr>
      <w:r>
        <w:t xml:space="preserve">SLIDE 4:</w:t>
      </w:r>
      <w:r>
        <w:t xml:space="preserve"> </w:t>
      </w:r>
      <w:r>
        <w:t xml:space="preserve">“Pillar 1: HOW to Identify the Right Premium Audience”</w:t>
      </w:r>
    </w:p>
    <w:p>
      <w:pPr>
        <w:pStyle w:val="FirstParagraph"/>
      </w:pPr>
      <w:r>
        <w:rPr>
          <w:b/>
          <w:bCs/>
        </w:rPr>
        <w:t xml:space="preserve">Visual</w:t>
      </w:r>
      <w:r>
        <w:t xml:space="preserve">: Side-by-side comparison showing Propensity Model vs. Uplift Model methodologies and outcomes</w:t>
      </w:r>
    </w:p>
    <w:p>
      <w:pPr>
        <w:pStyle w:val="BodyText"/>
      </w:pPr>
      <w:r>
        <w:rPr>
          <w:b/>
          <w:bCs/>
        </w:rPr>
        <w:t xml:space="preserve">Duration</w:t>
      </w:r>
      <w:r>
        <w:t xml:space="preserve">: 3.5 minutes</w:t>
      </w:r>
    </w:p>
    <w:p>
      <w:pPr>
        <w:pStyle w:val="BodyText"/>
      </w:pPr>
      <w:r>
        <w:rPr>
          <w:b/>
          <w:bCs/>
        </w:rPr>
        <w:t xml:space="preserve">Bullet Points:</w:t>
      </w:r>
    </w:p>
    <w:p>
      <w:pPr>
        <w:pStyle w:val="Compact"/>
        <w:numPr>
          <w:ilvl w:val="0"/>
          <w:numId w:val="1006"/>
        </w:numPr>
      </w:pPr>
      <w:r>
        <w:rPr>
          <w:b/>
          <w:bCs/>
        </w:rPr>
        <w:t xml:space="preserve">Traditional Propensity Question</w:t>
      </w:r>
      <w:r>
        <w:t xml:space="preserve">:</w:t>
      </w:r>
      <w:r>
        <w:t xml:space="preserve"> </w:t>
      </w:r>
      <w:r>
        <w:t xml:space="preserve">“Who is likely to convert?”</w:t>
      </w:r>
      <w:r>
        <w:t xml:space="preserve"> </w:t>
      </w:r>
      <w:r>
        <w:t xml:space="preserve">(correlation-based targeting)</w:t>
      </w:r>
    </w:p>
    <w:p>
      <w:pPr>
        <w:pStyle w:val="Compact"/>
        <w:numPr>
          <w:ilvl w:val="0"/>
          <w:numId w:val="1006"/>
        </w:numPr>
      </w:pPr>
      <w:r>
        <w:rPr>
          <w:b/>
          <w:bCs/>
        </w:rPr>
        <w:t xml:space="preserve">Breakthrough Uplift Question</w:t>
      </w:r>
      <w:r>
        <w:t xml:space="preserve">:</w:t>
      </w:r>
      <w:r>
        <w:t xml:space="preserve"> </w:t>
      </w:r>
      <w:r>
        <w:t xml:space="preserve">“Who converts BECAUSE of our marketing?”</w:t>
      </w:r>
      <w:r>
        <w:t xml:space="preserve"> </w:t>
      </w:r>
      <w:r>
        <w:t xml:space="preserve">(causation-based targeting)</w:t>
      </w:r>
    </w:p>
    <w:p>
      <w:pPr>
        <w:pStyle w:val="Compact"/>
        <w:numPr>
          <w:ilvl w:val="0"/>
          <w:numId w:val="1006"/>
        </w:numPr>
      </w:pPr>
      <w:r>
        <w:rPr>
          <w:b/>
          <w:bCs/>
        </w:rPr>
        <w:t xml:space="preserve">Critical Insight</w:t>
      </w:r>
      <w:r>
        <w:t xml:space="preserve">: These questions identify completely different customer segments</w:t>
      </w:r>
    </w:p>
    <w:p>
      <w:pPr>
        <w:pStyle w:val="Compact"/>
        <w:numPr>
          <w:ilvl w:val="0"/>
          <w:numId w:val="1006"/>
        </w:numPr>
      </w:pPr>
      <w:r>
        <w:rPr>
          <w:b/>
          <w:bCs/>
        </w:rPr>
        <w:t xml:space="preserve">Mathematical Foundation</w:t>
      </w:r>
      <w:r>
        <w:t xml:space="preserve">: Multiple proven methodologies available for implementation</w:t>
      </w:r>
    </w:p>
    <w:p>
      <w:pPr>
        <w:pStyle w:val="FirstParagraph"/>
      </w:pPr>
      <w:r>
        <w:rPr>
          <w:b/>
          <w:bCs/>
        </w:rPr>
        <w:t xml:space="preserve">Modeling Options Beyond Basic Propensity:</w:t>
      </w:r>
    </w:p>
    <w:p>
      <w:pPr>
        <w:pStyle w:val="Compact"/>
        <w:numPr>
          <w:ilvl w:val="0"/>
          <w:numId w:val="1007"/>
        </w:numPr>
      </w:pPr>
      <w:r>
        <w:rPr>
          <w:b/>
          <w:bCs/>
        </w:rPr>
        <w:t xml:space="preserve">T-Learner</w:t>
      </w:r>
      <w:r>
        <w:t xml:space="preserve">: Separate models for treatment/control groups – robust, interpretable</w:t>
      </w:r>
    </w:p>
    <w:p>
      <w:pPr>
        <w:pStyle w:val="Compact"/>
        <w:numPr>
          <w:ilvl w:val="0"/>
          <w:numId w:val="1007"/>
        </w:numPr>
      </w:pPr>
      <w:r>
        <w:rPr>
          <w:b/>
          <w:bCs/>
        </w:rPr>
        <w:t xml:space="preserve">X-Learner</w:t>
      </w:r>
      <w:r>
        <w:t xml:space="preserve">: Direct treatment effect modeling – more efficient with small datasets</w:t>
      </w:r>
    </w:p>
    <w:p>
      <w:pPr>
        <w:pStyle w:val="Compact"/>
        <w:numPr>
          <w:ilvl w:val="0"/>
          <w:numId w:val="1007"/>
        </w:numPr>
      </w:pPr>
      <w:r>
        <w:rPr>
          <w:b/>
          <w:bCs/>
        </w:rPr>
        <w:t xml:space="preserve">Causal Forest</w:t>
      </w:r>
      <w:r>
        <w:t xml:space="preserve">: Non-parametric with automated tuning – highest accuracy for complex patterns</w:t>
      </w:r>
    </w:p>
    <w:p>
      <w:pPr>
        <w:pStyle w:val="Compact"/>
        <w:numPr>
          <w:ilvl w:val="0"/>
          <w:numId w:val="1007"/>
        </w:numPr>
      </w:pPr>
      <w:r>
        <w:rPr>
          <w:b/>
          <w:bCs/>
        </w:rPr>
        <w:t xml:space="preserve">Double Machine Learning</w:t>
      </w:r>
      <w:r>
        <w:t xml:space="preserve">: Multi-treatment optimization – ideal for multiple campaign types</w:t>
      </w:r>
    </w:p>
    <w:p>
      <w:pPr>
        <w:pStyle w:val="FirstParagraph"/>
      </w:pPr>
      <w:r>
        <w:rPr>
          <w:b/>
          <w:bCs/>
        </w:rPr>
        <w:t xml:space="preserve">Proof Points from Implementation: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Organization</w:t>
            </w:r>
          </w:p>
        </w:tc>
        <w:tc>
          <w:tcPr/>
          <w:p>
            <w:pPr>
              <w:pStyle w:val="Compact"/>
            </w:pPr>
            <w:r>
              <w:t xml:space="preserve">Methodology</w:t>
            </w:r>
          </w:p>
        </w:tc>
        <w:tc>
          <w:tcPr/>
          <w:p>
            <w:pPr>
              <w:pStyle w:val="Compact"/>
            </w:pPr>
            <w:r>
              <w:t xml:space="preserve">Result</w:t>
            </w:r>
          </w:p>
        </w:tc>
      </w:tr>
      <w:tr>
        <w:tc>
          <w:tcPr/>
          <w:p>
            <w:pPr>
              <w:pStyle w:val="Compact"/>
            </w:pPr>
            <w:r>
              <w:t xml:space="preserve">U.S. Bank</w:t>
            </w:r>
          </w:p>
        </w:tc>
        <w:tc>
          <w:tcPr/>
          <w:p>
            <w:pPr>
              <w:pStyle w:val="Compact"/>
            </w:pPr>
            <w:r>
              <w:t xml:space="preserve">Full uplift model vs. propensity</w:t>
            </w:r>
          </w:p>
        </w:tc>
        <w:tc>
          <w:tcPr/>
          <w:p>
            <w:pPr>
              <w:pStyle w:val="Compact"/>
            </w:pPr>
            <w:r>
              <w:t xml:space="preserve">192% higher ROI</w:t>
            </w:r>
          </w:p>
        </w:tc>
      </w:tr>
      <w:tr>
        <w:tc>
          <w:tcPr/>
          <w:p>
            <w:pPr>
              <w:pStyle w:val="Compact"/>
            </w:pPr>
            <w:r>
              <w:t xml:space="preserve">DoorDash</w:t>
            </w:r>
          </w:p>
        </w:tc>
        <w:tc>
          <w:tcPr/>
          <w:p>
            <w:pPr>
              <w:pStyle w:val="Compact"/>
            </w:pPr>
            <w:r>
              <w:t xml:space="preserve">Double Machine Learning</w:t>
            </w:r>
          </w:p>
        </w:tc>
        <w:tc>
          <w:tcPr/>
          <w:p>
            <w:pPr>
              <w:pStyle w:val="Compact"/>
            </w:pPr>
            <w:r>
              <w:t xml:space="preserve">8.03% Qini coefficient</w:t>
            </w:r>
          </w:p>
        </w:tc>
      </w:tr>
      <w:tr>
        <w:tc>
          <w:tcPr/>
          <w:p>
            <w:pPr>
              <w:pStyle w:val="Compact"/>
            </w:pPr>
            <w:r>
              <w:t xml:space="preserve">INCRMNTAL Research</w:t>
            </w:r>
          </w:p>
        </w:tc>
        <w:tc>
          <w:tcPr/>
          <w:p>
            <w:pPr>
              <w:pStyle w:val="Compact"/>
            </w:pPr>
            <w:r>
              <w:t xml:space="preserve">Incrementality analysis</w:t>
            </w:r>
          </w:p>
        </w:tc>
        <w:tc>
          <w:tcPr/>
          <w:p>
            <w:pPr>
              <w:pStyle w:val="Compact"/>
            </w:pPr>
            <w:r>
              <w:t xml:space="preserve">60% of</w:t>
            </w:r>
            <w:r>
              <w:t xml:space="preserve"> </w:t>
            </w:r>
            <w:r>
              <w:t xml:space="preserve">“high-propensity”</w:t>
            </w:r>
            <w:r>
              <w:t xml:space="preserve"> </w:t>
            </w:r>
            <w:r>
              <w:t xml:space="preserve">conversions were non-incremental Sure Things</w:t>
            </w:r>
          </w:p>
        </w:tc>
      </w:tr>
      <w:tr>
        <w:tc>
          <w:tcPr/>
          <w:p>
            <w:pPr>
              <w:pStyle w:val="Compact"/>
            </w:pPr>
            <w:r>
              <w:t xml:space="preserve">Focus Optimal Study</w:t>
            </w:r>
          </w:p>
        </w:tc>
        <w:tc>
          <w:tcPr/>
          <w:p>
            <w:pPr>
              <w:pStyle w:val="Compact"/>
            </w:pPr>
            <w:r>
              <w:t xml:space="preserve">Causal LTV analysis</w:t>
            </w:r>
          </w:p>
        </w:tc>
        <w:tc>
          <w:tcPr/>
          <w:p>
            <w:pPr>
              <w:pStyle w:val="Compact"/>
            </w:pPr>
            <w:r>
              <w:t xml:space="preserve">Persuadables showed 30% higher net LTV than Sure Things</w:t>
            </w:r>
          </w:p>
        </w:tc>
      </w:tr>
    </w:tbl>
    <w:p>
      <w:pPr>
        <w:pStyle w:val="BodyText"/>
      </w:pPr>
      <w:r>
        <w:rPr>
          <w:b/>
          <w:bCs/>
        </w:rPr>
        <w:t xml:space="preserve">Talk Track</w:t>
      </w:r>
      <w:r>
        <w:t xml:space="preserve">:</w:t>
      </w:r>
      <w:r>
        <w:t xml:space="preserve"> </w:t>
      </w:r>
      <w:r>
        <w:t xml:space="preserve">“The first pillar requires fundamentally changing how we identify premium audiences. Traditional propensity modeling asks</w:t>
      </w:r>
      <w:r>
        <w:t xml:space="preserve"> </w:t>
      </w:r>
      <w:r>
        <w:t xml:space="preserve">‘Who will convert?’</w:t>
      </w:r>
      <w:r>
        <w:t xml:space="preserve"> </w:t>
      </w:r>
      <w:r>
        <w:t xml:space="preserve">and optimizes for high probability outcomes. But this leads us straight to Sure Things – customers who would convert anyway. Uplift modeling asks</w:t>
      </w:r>
      <w:r>
        <w:t xml:space="preserve"> </w:t>
      </w:r>
      <w:r>
        <w:t xml:space="preserve">‘Who converts BECAUSE of us?’</w:t>
      </w:r>
      <w:r>
        <w:t xml:space="preserve"> </w:t>
      </w:r>
      <w:r>
        <w:t xml:space="preserve">and identifies Persuadables – the only audience that creates incremental value. We have multiple proven methodologies: T-Learner for robustness, X-Learner for efficiency, Causal Forest for complexity, and Double Machine Learning for multi-treatment scenarios. U.S. Bank proved the business impact: 192% higher ROI from this methodology shift alone. The mathematics are proven, the tools are available – the question is whether you’ll continue targeting correlation or start targeting causation.”</w:t>
      </w:r>
    </w:p>
    <w:bookmarkEnd w:id="13"/>
    <w:bookmarkStart w:id="14" w:name="X8c157ff34e064f70e1f3f9e0e1438ccd2009c11"/>
    <w:p>
      <w:pPr>
        <w:pStyle w:val="Heading2"/>
      </w:pPr>
      <w:r>
        <w:t xml:space="preserve">SLIDE 5:</w:t>
      </w:r>
      <w:r>
        <w:t xml:space="preserve"> </w:t>
      </w:r>
      <w:r>
        <w:t xml:space="preserve">“The Four Customer Types: Why Only One Creates Growth”</w:t>
      </w:r>
    </w:p>
    <w:p>
      <w:pPr>
        <w:pStyle w:val="FirstParagraph"/>
      </w:pPr>
      <w:r>
        <w:rPr>
          <w:b/>
          <w:bCs/>
        </w:rPr>
        <w:t xml:space="preserve">Visual</w:t>
      </w:r>
      <w:r>
        <w:t xml:space="preserve">: 2x2 matrix showing response to treatment vs. baseline conversion probability</w:t>
      </w:r>
    </w:p>
    <w:p>
      <w:pPr>
        <w:pStyle w:val="BodyText"/>
      </w:pPr>
      <w:r>
        <w:rPr>
          <w:b/>
          <w:bCs/>
        </w:rPr>
        <w:t xml:space="preserve">Duration</w:t>
      </w:r>
      <w:r>
        <w:t xml:space="preserve">: 2.5 minutes</w:t>
      </w:r>
    </w:p>
    <w:p>
      <w:pPr>
        <w:pStyle w:val="BodyText"/>
      </w:pPr>
      <w:r>
        <w:rPr>
          <w:b/>
          <w:bCs/>
        </w:rPr>
        <w:t xml:space="preserve">The Four Customer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Customer Type</w:t>
            </w:r>
          </w:p>
        </w:tc>
        <w:tc>
          <w:tcPr/>
          <w:p>
            <w:pPr>
              <w:pStyle w:val="Compact"/>
            </w:pPr>
            <w:r>
              <w:t xml:space="preserve">Share</w:t>
            </w:r>
          </w:p>
        </w:tc>
        <w:tc>
          <w:tcPr/>
          <w:p>
            <w:pPr>
              <w:pStyle w:val="Compact"/>
            </w:pPr>
            <w:r>
              <w:t xml:space="preserve">Marketing Impact</w:t>
            </w:r>
          </w:p>
        </w:tc>
        <w:tc>
          <w:tcPr/>
          <w:p>
            <w:pPr>
              <w:pStyle w:val="Compact"/>
            </w:pPr>
            <w:r>
              <w:t xml:space="preserve">Value</w:t>
            </w:r>
          </w:p>
        </w:tc>
      </w:tr>
      <w:tr>
        <w:tc>
          <w:tcPr/>
          <w:p>
            <w:pPr>
              <w:pStyle w:val="Compact"/>
            </w:pPr>
            <w:r>
              <w:rPr>
                <w:b/>
                <w:bCs/>
              </w:rPr>
              <w:t xml:space="preserve">Persuadables</w:t>
            </w:r>
          </w:p>
        </w:tc>
        <w:tc>
          <w:tcPr/>
          <w:p>
            <w:pPr>
              <w:pStyle w:val="Compact"/>
            </w:pPr>
            <w:r>
              <w:t xml:space="preserve">~5%</w:t>
            </w:r>
          </w:p>
        </w:tc>
        <w:tc>
          <w:tcPr/>
          <w:p>
            <w:pPr>
              <w:pStyle w:val="Compact"/>
            </w:pPr>
            <w:r>
              <w:t xml:space="preserve">Convert because of marketing</w:t>
            </w:r>
          </w:p>
        </w:tc>
        <w:tc>
          <w:tcPr/>
          <w:p>
            <w:pPr>
              <w:pStyle w:val="Compact"/>
            </w:pPr>
            <w:r>
              <w:t xml:space="preserve">CREATE incremental value</w:t>
            </w:r>
          </w:p>
        </w:tc>
      </w:tr>
      <w:tr>
        <w:tc>
          <w:tcPr/>
          <w:p>
            <w:pPr>
              <w:pStyle w:val="Compact"/>
            </w:pPr>
            <w:r>
              <w:rPr>
                <w:b/>
                <w:bCs/>
              </w:rPr>
              <w:t xml:space="preserve">Sure Things</w:t>
            </w:r>
          </w:p>
        </w:tc>
        <w:tc>
          <w:tcPr/>
          <w:p>
            <w:pPr>
              <w:pStyle w:val="Compact"/>
            </w:pPr>
            <w:r>
              <w:t xml:space="preserve">~5%</w:t>
            </w:r>
          </w:p>
        </w:tc>
        <w:tc>
          <w:tcPr/>
          <w:p>
            <w:pPr>
              <w:pStyle w:val="Compact"/>
            </w:pPr>
            <w:r>
              <w:t xml:space="preserve">Convert anyway</w:t>
            </w:r>
          </w:p>
        </w:tc>
        <w:tc>
          <w:tcPr/>
          <w:p>
            <w:pPr>
              <w:pStyle w:val="Compact"/>
            </w:pPr>
            <w:r>
              <w:t xml:space="preserve">WASTE marketing spend</w:t>
            </w:r>
          </w:p>
        </w:tc>
      </w:tr>
      <w:tr>
        <w:tc>
          <w:tcPr/>
          <w:p>
            <w:pPr>
              <w:pStyle w:val="Compact"/>
            </w:pPr>
            <w:r>
              <w:rPr>
                <w:b/>
                <w:bCs/>
              </w:rPr>
              <w:t xml:space="preserve">Lost Causes</w:t>
            </w:r>
          </w:p>
        </w:tc>
        <w:tc>
          <w:tcPr/>
          <w:p>
            <w:pPr>
              <w:pStyle w:val="Compact"/>
            </w:pPr>
            <w:r>
              <w:t xml:space="preserve">~85%</w:t>
            </w:r>
          </w:p>
        </w:tc>
        <w:tc>
          <w:tcPr/>
          <w:p>
            <w:pPr>
              <w:pStyle w:val="Compact"/>
            </w:pPr>
            <w:r>
              <w:t xml:space="preserve">Won’t convert regardless</w:t>
            </w:r>
          </w:p>
        </w:tc>
        <w:tc>
          <w:tcPr/>
          <w:p>
            <w:pPr>
              <w:pStyle w:val="Compact"/>
            </w:pPr>
            <w:r>
              <w:t xml:space="preserve">NEUTRAL impact</w:t>
            </w:r>
          </w:p>
        </w:tc>
      </w:tr>
      <w:tr>
        <w:tc>
          <w:tcPr/>
          <w:p>
            <w:pPr>
              <w:pStyle w:val="Compact"/>
            </w:pPr>
            <w:r>
              <w:rPr>
                <w:b/>
                <w:bCs/>
              </w:rPr>
              <w:t xml:space="preserve">Sleeping Dogs</w:t>
            </w:r>
          </w:p>
        </w:tc>
        <w:tc>
          <w:tcPr/>
          <w:p>
            <w:pPr>
              <w:pStyle w:val="Compact"/>
            </w:pPr>
            <w:r>
              <w:t xml:space="preserve">~5%</w:t>
            </w:r>
          </w:p>
        </w:tc>
        <w:tc>
          <w:tcPr/>
          <w:p>
            <w:pPr>
              <w:pStyle w:val="Compact"/>
            </w:pPr>
            <w:r>
              <w:t xml:space="preserve">Marketing decreases conversion</w:t>
            </w:r>
          </w:p>
        </w:tc>
        <w:tc>
          <w:tcPr/>
          <w:p>
            <w:pPr>
              <w:pStyle w:val="Compact"/>
            </w:pPr>
            <w:r>
              <w:t xml:space="preserve">HARMFUL</w:t>
            </w:r>
          </w:p>
        </w:tc>
      </w:tr>
    </w:tbl>
    <w:p>
      <w:pPr>
        <w:pStyle w:val="BodyText"/>
      </w:pPr>
      <w:r>
        <w:rPr>
          <w:b/>
          <w:bCs/>
        </w:rPr>
        <w:t xml:space="preserve">Critical Business Insight</w:t>
      </w:r>
      <w:r>
        <w:t xml:space="preserve">: Propensity models cannot distinguish between Persuadables and Sure Things because both show high conversion rates</w:t>
      </w:r>
    </w:p>
    <w:p>
      <w:pPr>
        <w:pStyle w:val="BodyText"/>
      </w:pPr>
      <w:r>
        <w:rPr>
          <w:b/>
          <w:bCs/>
        </w:rPr>
        <w:t xml:space="preserve">Research Evidence: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Study</w:t>
            </w:r>
          </w:p>
        </w:tc>
        <w:tc>
          <w:tcPr/>
          <w:p>
            <w:pPr>
              <w:pStyle w:val="Compact"/>
            </w:pPr>
            <w:r>
              <w:t xml:space="preserve">Finding</w:t>
            </w:r>
          </w:p>
        </w:tc>
      </w:tr>
      <w:tr>
        <w:tc>
          <w:tcPr/>
          <w:p>
            <w:pPr>
              <w:pStyle w:val="Compact"/>
            </w:pPr>
            <w:r>
              <w:t xml:space="preserve">INCRMNTAL Study</w:t>
            </w:r>
          </w:p>
        </w:tc>
        <w:tc>
          <w:tcPr/>
          <w:p>
            <w:pPr>
              <w:pStyle w:val="Compact"/>
            </w:pPr>
            <w:r>
              <w:t xml:space="preserve">60% of conversions were non-incremental Sure Things</w:t>
            </w:r>
          </w:p>
        </w:tc>
      </w:tr>
      <w:tr>
        <w:tc>
          <w:tcPr/>
          <w:p>
            <w:pPr>
              <w:pStyle w:val="Compact"/>
            </w:pPr>
            <w:r>
              <w:t xml:space="preserve">Alliance Data Research</w:t>
            </w:r>
          </w:p>
        </w:tc>
        <w:tc>
          <w:tcPr/>
          <w:p>
            <w:pPr>
              <w:pStyle w:val="Compact"/>
            </w:pPr>
            <w:r>
              <w:t xml:space="preserve">Top decile had 13% uplift; remainder had near-zero or negative lift</w:t>
            </w:r>
          </w:p>
        </w:tc>
      </w:tr>
      <w:tr>
        <w:tc>
          <w:tcPr/>
          <w:p>
            <w:pPr>
              <w:pStyle w:val="Compact"/>
            </w:pPr>
            <w:r>
              <w:t xml:space="preserve">Focus Optimal Analysis</w:t>
            </w:r>
          </w:p>
        </w:tc>
        <w:tc>
          <w:tcPr/>
          <w:p>
            <w:pPr>
              <w:pStyle w:val="Compact"/>
            </w:pPr>
            <w:r>
              <w:t xml:space="preserve">Sure Things had no incremental profit; Persuadables had 30% higher net LTV</w:t>
            </w:r>
          </w:p>
        </w:tc>
      </w:tr>
      <w:tr>
        <w:tc>
          <w:tcPr/>
          <w:p>
            <w:pPr>
              <w:pStyle w:val="Compact"/>
            </w:pPr>
            <w:r>
              <w:t xml:space="preserve">Typical Distribution</w:t>
            </w:r>
          </w:p>
        </w:tc>
        <w:tc>
          <w:tcPr/>
          <w:p>
            <w:pPr>
              <w:pStyle w:val="Compact"/>
            </w:pPr>
            <w:r>
              <w:t xml:space="preserve">~85% are Lost Causes with minimal uplift potential</w:t>
            </w:r>
          </w:p>
        </w:tc>
      </w:tr>
    </w:tbl>
    <w:p>
      <w:pPr>
        <w:pStyle w:val="BodyText"/>
      </w:pPr>
      <w:r>
        <w:rPr>
          <w:b/>
          <w:bCs/>
        </w:rPr>
        <w:t xml:space="preserve">The Targeting Tragedy</w:t>
      </w:r>
      <w:r>
        <w:t xml:space="preserve">: Traditional premium targeting optimizes for conversion probability, leading directly to Sure Things – the most expensive audience to target because they provide zero incremental value</w:t>
      </w:r>
    </w:p>
    <w:p>
      <w:pPr>
        <w:pStyle w:val="BodyText"/>
      </w:pPr>
      <w:r>
        <w:rPr>
          <w:b/>
          <w:bCs/>
        </w:rPr>
        <w:t xml:space="preserve">Talk Track</w:t>
      </w:r>
      <w:r>
        <w:t xml:space="preserve">:</w:t>
      </w:r>
      <w:r>
        <w:t xml:space="preserve"> </w:t>
      </w:r>
      <w:r>
        <w:t xml:space="preserve">“Uplift modeling reveals why traditional premium targeting fails: it segments customers into four distinct types based on their response to marketing intervention. Only one type – Persuadables – creates incremental value. Sure Things look attractive in propensity models because they convert at high rates, but they would convert anyway. Marketing to them is pure waste. The tragedy is that traditional premium targeting, optimized for conversion probability, leads you directly to Sure Things. INCRMNTAL’s research confirms this: 60% of conversions in typical premium campaigns are non-incremental. We’ve been paying premium prices to target the wrong audience.”</w:t>
      </w:r>
    </w:p>
    <w:bookmarkEnd w:id="14"/>
    <w:bookmarkStart w:id="16" w:name="X4fc51e25d8c1d4ca3e594c3efe3d27719865680"/>
    <w:p>
      <w:pPr>
        <w:pStyle w:val="Heading2"/>
      </w:pPr>
      <w:r>
        <w:t xml:space="preserve">SLIDE 6:</w:t>
      </w:r>
      <w:r>
        <w:t xml:space="preserve"> </w:t>
      </w:r>
      <w:r>
        <w:t xml:space="preserve">“Pillar 2: Targeting Persuadables Effectively at Scale”</w:t>
      </w:r>
    </w:p>
    <w:p>
      <w:pPr>
        <w:pStyle w:val="FirstParagraph"/>
      </w:pPr>
      <w:r>
        <w:rPr>
          <w:b/>
          <w:bCs/>
        </w:rPr>
        <w:t xml:space="preserve">Visual</w:t>
      </w:r>
      <w:r>
        <w:t xml:space="preserve">: Flow diagram showing uplift model output to programmatic activation to campaign performance</w:t>
      </w:r>
    </w:p>
    <w:p>
      <w:pPr>
        <w:pStyle w:val="BodyText"/>
      </w:pPr>
      <w:r>
        <w:rPr>
          <w:b/>
          <w:bCs/>
        </w:rPr>
        <w:t xml:space="preserve">Duration</w:t>
      </w:r>
      <w:r>
        <w:t xml:space="preserve">: 3 minutes</w:t>
      </w:r>
    </w:p>
    <w:p>
      <w:pPr>
        <w:pStyle w:val="BodyText"/>
      </w:pPr>
      <w:r>
        <w:rPr>
          <w:b/>
          <w:bCs/>
        </w:rPr>
        <w:t xml:space="preserve">Bullet Points:</w:t>
      </w:r>
    </w:p>
    <w:p>
      <w:pPr>
        <w:pStyle w:val="Compact"/>
        <w:numPr>
          <w:ilvl w:val="0"/>
          <w:numId w:val="1008"/>
        </w:numPr>
      </w:pPr>
      <w:r>
        <w:rPr>
          <w:b/>
          <w:bCs/>
        </w:rPr>
        <w:t xml:space="preserve">The Challenge</w:t>
      </w:r>
      <w:r>
        <w:t xml:space="preserve">: Identifying Persuadables is only half the battle – activating those insights is where most initiatives fail</w:t>
      </w:r>
    </w:p>
    <w:p>
      <w:pPr>
        <w:pStyle w:val="Compact"/>
        <w:numPr>
          <w:ilvl w:val="0"/>
          <w:numId w:val="1008"/>
        </w:numPr>
      </w:pPr>
      <w:r>
        <w:rPr>
          <w:b/>
          <w:bCs/>
        </w:rPr>
        <w:t xml:space="preserve">Technical Barrier</w:t>
      </w:r>
      <w:r>
        <w:t xml:space="preserve">: 100ms RTB window prevents real-time causal inference</w:t>
      </w:r>
    </w:p>
    <w:p>
      <w:pPr>
        <w:pStyle w:val="Compact"/>
        <w:numPr>
          <w:ilvl w:val="0"/>
          <w:numId w:val="1008"/>
        </w:numPr>
      </w:pPr>
      <w:r>
        <w:rPr>
          <w:b/>
          <w:bCs/>
        </w:rPr>
        <w:t xml:space="preserve">Solution Requirement</w:t>
      </w:r>
      <w:r>
        <w:t xml:space="preserve">: Bridge sophisticated statistical insights to programmatic execution</w:t>
      </w:r>
    </w:p>
    <w:p>
      <w:pPr>
        <w:pStyle w:val="Compact"/>
        <w:numPr>
          <w:ilvl w:val="0"/>
          <w:numId w:val="1008"/>
        </w:numPr>
      </w:pPr>
      <w:r>
        <w:rPr>
          <w:b/>
          <w:bCs/>
        </w:rPr>
        <w:t xml:space="preserve">Success Factor</w:t>
      </w:r>
      <w:r>
        <w:t xml:space="preserve">: Match activation approach to organizational technical readiness</w:t>
      </w:r>
    </w:p>
    <w:bookmarkStart w:id="15" w:name="three-proven-activation-pathways"/>
    <w:p>
      <w:pPr>
        <w:pStyle w:val="Heading3"/>
      </w:pPr>
      <w:r>
        <w:t xml:space="preserve">Three Proven Activation Pathways</w:t>
      </w:r>
    </w:p>
    <w:p>
      <w:pPr>
        <w:pStyle w:val="FirstParagraph"/>
      </w:pPr>
      <w:r>
        <w:rPr>
          <w:b/>
          <w:bCs/>
        </w:rPr>
        <w:t xml:space="preserve">Pathway 1: Custom Bidding APIs</w:t>
      </w:r>
      <w:r>
        <w:t xml:space="preserve"> </w:t>
      </w:r>
      <w:r>
        <w:t xml:space="preserve">(Highest Precision, Complex Integration)</w:t>
      </w:r>
    </w:p>
    <w:p>
      <w:pPr>
        <w:pStyle w:val="Compact"/>
        <w:numPr>
          <w:ilvl w:val="0"/>
          <w:numId w:val="1009"/>
        </w:numPr>
      </w:pPr>
      <w:r>
        <w:t xml:space="preserve">Real-time uplift score integration with DSP bidding algorithms</w:t>
      </w:r>
    </w:p>
    <w:p>
      <w:pPr>
        <w:pStyle w:val="Compact"/>
        <w:numPr>
          <w:ilvl w:val="0"/>
          <w:numId w:val="1009"/>
        </w:numPr>
      </w:pPr>
      <w:r>
        <w:t xml:space="preserve">DoorDash Example: 8.03% Qini coefficient with confidence-based bid adjustments</w:t>
      </w:r>
    </w:p>
    <w:p>
      <w:pPr>
        <w:pStyle w:val="Compact"/>
        <w:numPr>
          <w:ilvl w:val="0"/>
          <w:numId w:val="1009"/>
        </w:numPr>
      </w:pPr>
      <w:r>
        <w:t xml:space="preserve">Timeline: 12-16 weeks for full implementation</w:t>
      </w:r>
    </w:p>
    <w:p>
      <w:pPr>
        <w:pStyle w:val="FirstParagraph"/>
      </w:pPr>
      <w:r>
        <w:rPr>
          <w:b/>
          <w:bCs/>
        </w:rPr>
        <w:t xml:space="preserve">Pathway 2: CDP-to-DSP Segmentation</w:t>
      </w:r>
      <w:r>
        <w:t xml:space="preserve"> </w:t>
      </w:r>
      <w:r>
        <w:t xml:space="preserve">(Medium Precision, Faster Deployment)</w:t>
      </w:r>
    </w:p>
    <w:p>
      <w:pPr>
        <w:pStyle w:val="Compact"/>
        <w:numPr>
          <w:ilvl w:val="0"/>
          <w:numId w:val="1010"/>
        </w:numPr>
      </w:pPr>
      <w:r>
        <w:t xml:space="preserve">Pre-computed audience lists with differentiated bid strategies</w:t>
      </w:r>
    </w:p>
    <w:p>
      <w:pPr>
        <w:pStyle w:val="Compact"/>
        <w:numPr>
          <w:ilvl w:val="0"/>
          <w:numId w:val="1010"/>
        </w:numPr>
      </w:pPr>
      <w:r>
        <w:t xml:space="preserve">Bank of America Example: $3M+ savings through Persuadables-focused bid premiums</w:t>
      </w:r>
    </w:p>
    <w:p>
      <w:pPr>
        <w:pStyle w:val="Compact"/>
        <w:numPr>
          <w:ilvl w:val="0"/>
          <w:numId w:val="1010"/>
        </w:numPr>
      </w:pPr>
      <w:r>
        <w:t xml:space="preserve">Timeline: 4-6 weeks for initial implementation</w:t>
      </w:r>
    </w:p>
    <w:p>
      <w:pPr>
        <w:pStyle w:val="FirstParagraph"/>
      </w:pPr>
      <w:r>
        <w:rPr>
          <w:b/>
          <w:bCs/>
        </w:rPr>
        <w:t xml:space="preserve">Pathway 3: Data Clean Rooms</w:t>
      </w:r>
      <w:r>
        <w:t xml:space="preserve"> </w:t>
      </w:r>
      <w:r>
        <w:t xml:space="preserve">(Scalable, Privacy-Compliant)</w:t>
      </w:r>
    </w:p>
    <w:p>
      <w:pPr>
        <w:pStyle w:val="Compact"/>
        <w:numPr>
          <w:ilvl w:val="0"/>
          <w:numId w:val="1011"/>
        </w:numPr>
      </w:pPr>
      <w:r>
        <w:t xml:space="preserve">Privacy-safe audience activation through walled garden environments</w:t>
      </w:r>
    </w:p>
    <w:p>
      <w:pPr>
        <w:pStyle w:val="Compact"/>
        <w:numPr>
          <w:ilvl w:val="0"/>
          <w:numId w:val="1011"/>
        </w:numPr>
      </w:pPr>
      <w:r>
        <w:t xml:space="preserve">Trade Desk Example: 600B+ daily impressions with causal scoring integration</w:t>
      </w:r>
    </w:p>
    <w:p>
      <w:pPr>
        <w:pStyle w:val="Compact"/>
        <w:numPr>
          <w:ilvl w:val="0"/>
          <w:numId w:val="1011"/>
        </w:numPr>
      </w:pPr>
      <w:r>
        <w:t xml:space="preserve">Timeline: 8-12 weeks depending on clean room partnership</w:t>
      </w:r>
    </w:p>
    <w:p>
      <w:pPr>
        <w:pStyle w:val="FirstParagraph"/>
      </w:pPr>
      <w:r>
        <w:rPr>
          <w:b/>
          <w:bCs/>
        </w:rPr>
        <w:t xml:space="preserve">Talk Track</w:t>
      </w:r>
      <w:r>
        <w:t xml:space="preserve">:</w:t>
      </w:r>
      <w:r>
        <w:t xml:space="preserve"> </w:t>
      </w:r>
      <w:r>
        <w:t xml:space="preserve">“Identifying Persuadables is only the beginning – the second pillar is targeting them effectively at scale. This is where most uplift initiatives fail: your models identify the right audiences, but your programmatic activation defaults to lowest-CPM bidding, leading you right back to Sure Things. The 100-millisecond RTB constraint prevents real-time causal inference, so you need bridge strategies. Three approaches have proven successful, each matching different organizational readiness levels. Custom bidding offers highest precision but requires significant technical integration. CDP segmentation provides faster deployment with good results. Data clean rooms enable privacy-compliant scaling. The key is choosing the pathway that matches your technical capabilities and timeline requirements.”</w:t>
      </w:r>
    </w:p>
    <w:bookmarkEnd w:id="15"/>
    <w:bookmarkEnd w:id="16"/>
    <w:bookmarkStart w:id="18" w:name="Xe4fa8bde8e88ba9c3d5605a2af169d06cee34dc"/>
    <w:p>
      <w:pPr>
        <w:pStyle w:val="Heading2"/>
      </w:pPr>
      <w:r>
        <w:t xml:space="preserve">SLIDE 7:</w:t>
      </w:r>
      <w:r>
        <w:t xml:space="preserve"> </w:t>
      </w:r>
      <w:r>
        <w:t xml:space="preserve">“Pillar 3: Operating at the Pace of the Supply Chain”</w:t>
      </w:r>
    </w:p>
    <w:p>
      <w:pPr>
        <w:pStyle w:val="FirstParagraph"/>
      </w:pPr>
      <w:r>
        <w:rPr>
          <w:b/>
          <w:bCs/>
        </w:rPr>
        <w:t xml:space="preserve">Visual</w:t>
      </w:r>
      <w:r>
        <w:t xml:space="preserve">: RTB timeline showing 100ms decision window with technical constraints</w:t>
      </w:r>
    </w:p>
    <w:p>
      <w:pPr>
        <w:pStyle w:val="BodyText"/>
      </w:pPr>
      <w:r>
        <w:rPr>
          <w:b/>
          <w:bCs/>
        </w:rPr>
        <w:t xml:space="preserve">Duration</w:t>
      </w:r>
      <w:r>
        <w:t xml:space="preserve">: 3 minutes</w:t>
      </w:r>
    </w:p>
    <w:p>
      <w:pPr>
        <w:pStyle w:val="BodyText"/>
      </w:pPr>
      <w:r>
        <w:rPr>
          <w:b/>
          <w:bCs/>
        </w:rPr>
        <w:t xml:space="preserve">Bullet Points:</w:t>
      </w:r>
    </w:p>
    <w:p>
      <w:pPr>
        <w:pStyle w:val="Compact"/>
        <w:numPr>
          <w:ilvl w:val="0"/>
          <w:numId w:val="1012"/>
        </w:numPr>
      </w:pPr>
      <w:r>
        <w:rPr>
          <w:b/>
          <w:bCs/>
        </w:rPr>
        <w:t xml:space="preserve">The Technical Reality</w:t>
      </w:r>
      <w:r>
        <w:t xml:space="preserve">: RTB auctions complete in 200-300ms; DSPs must respond in &lt;100ms</w:t>
      </w:r>
    </w:p>
    <w:p>
      <w:pPr>
        <w:pStyle w:val="Compact"/>
        <w:numPr>
          <w:ilvl w:val="0"/>
          <w:numId w:val="1012"/>
        </w:numPr>
      </w:pPr>
      <w:r>
        <w:rPr>
          <w:b/>
          <w:bCs/>
        </w:rPr>
        <w:t xml:space="preserve">The Statistical Constraint</w:t>
      </w:r>
      <w:r>
        <w:t xml:space="preserve">: Sophisticated causal inference takes seconds, not milliseconds</w:t>
      </w:r>
    </w:p>
    <w:p>
      <w:pPr>
        <w:pStyle w:val="Compact"/>
        <w:numPr>
          <w:ilvl w:val="0"/>
          <w:numId w:val="1012"/>
        </w:numPr>
      </w:pPr>
      <w:r>
        <w:rPr>
          <w:b/>
          <w:bCs/>
        </w:rPr>
        <w:t xml:space="preserve">The Solution Architecture</w:t>
      </w:r>
      <w:r>
        <w:t xml:space="preserve">: Pre-computed intelligence with real-time activation</w:t>
      </w:r>
    </w:p>
    <w:p>
      <w:pPr>
        <w:pStyle w:val="Compact"/>
        <w:numPr>
          <w:ilvl w:val="0"/>
          <w:numId w:val="1012"/>
        </w:numPr>
      </w:pPr>
      <w:r>
        <w:rPr>
          <w:b/>
          <w:bCs/>
        </w:rPr>
        <w:t xml:space="preserve">Success Requirement</w:t>
      </w:r>
      <w:r>
        <w:t xml:space="preserve">: Design for operational reality while preserving statistical sophistication</w:t>
      </w:r>
    </w:p>
    <w:bookmarkStart w:id="17" w:name="implementation-strategies-that-work"/>
    <w:p>
      <w:pPr>
        <w:pStyle w:val="Heading3"/>
      </w:pPr>
      <w:r>
        <w:t xml:space="preserve">Implementation Strategies That Work</w:t>
      </w:r>
    </w:p>
    <w:p>
      <w:pPr>
        <w:pStyle w:val="FirstParagraph"/>
      </w:pPr>
      <w:r>
        <w:rPr>
          <w:b/>
          <w:bCs/>
        </w:rPr>
        <w:t xml:space="preserve">Pre-Bid Segmentation</w:t>
      </w:r>
      <w:r>
        <w:t xml:space="preserve">: Upload uplift-scored audiences to DSP with differentiated bid ceilings</w:t>
      </w:r>
    </w:p>
    <w:p>
      <w:pPr>
        <w:pStyle w:val="Compact"/>
        <w:numPr>
          <w:ilvl w:val="0"/>
          <w:numId w:val="1013"/>
        </w:numPr>
      </w:pPr>
      <w:r>
        <w:t xml:space="preserve">Bank of America approach: X-Learner offline, Persuadables list, premium bid strategy – 28% improvement</w:t>
      </w:r>
    </w:p>
    <w:p>
      <w:pPr>
        <w:pStyle w:val="FirstParagraph"/>
      </w:pPr>
      <w:r>
        <w:rPr>
          <w:b/>
          <w:bCs/>
        </w:rPr>
        <w:t xml:space="preserve">Real-Time Score Lookup</w:t>
      </w:r>
      <w:r>
        <w:t xml:space="preserve">: Pre-computed causal scores stored for instant retrieval during RTB</w:t>
      </w:r>
    </w:p>
    <w:p>
      <w:pPr>
        <w:pStyle w:val="Compact"/>
        <w:numPr>
          <w:ilvl w:val="0"/>
          <w:numId w:val="1014"/>
        </w:numPr>
      </w:pPr>
      <w:r>
        <w:t xml:space="preserve">Trade Desk model: Daily score refresh, sub-millisecond lookup – 600B+ impression scale</w:t>
      </w:r>
    </w:p>
    <w:p>
      <w:pPr>
        <w:pStyle w:val="FirstParagraph"/>
      </w:pPr>
      <w:r>
        <w:rPr>
          <w:b/>
          <w:bCs/>
        </w:rPr>
        <w:t xml:space="preserve">Dynamic Bidding Rules</w:t>
      </w:r>
      <w:r>
        <w:t xml:space="preserve">: Automated bid adjustments based on uplift predictions</w:t>
      </w:r>
    </w:p>
    <w:p>
      <w:pPr>
        <w:pStyle w:val="Compact"/>
        <w:numPr>
          <w:ilvl w:val="0"/>
          <w:numId w:val="1015"/>
        </w:numPr>
      </w:pPr>
      <w:r>
        <w:t xml:space="preserve">MBuy/Xandr implementation: Custom confidence scoring – 90% CPA reduction despite premium CPMs</w:t>
      </w:r>
    </w:p>
    <w:p>
      <w:pPr>
        <w:pStyle w:val="FirstParagraph"/>
      </w:pPr>
      <w:r>
        <w:rPr>
          <w:b/>
          <w:bCs/>
        </w:rPr>
        <w:t xml:space="preserve">Continuous Model Learning</w:t>
      </w:r>
      <w:r>
        <w:t xml:space="preserve">: Weekly refresh cycles based on campaign performance</w:t>
      </w:r>
    </w:p>
    <w:p>
      <w:pPr>
        <w:pStyle w:val="Compact"/>
        <w:numPr>
          <w:ilvl w:val="0"/>
          <w:numId w:val="1016"/>
        </w:numPr>
      </w:pPr>
      <w:r>
        <w:t xml:space="preserve">DoorDash optimization: Performance feedback, model refinement – 8.03% Qini coefficient</w:t>
      </w:r>
    </w:p>
    <w:p>
      <w:pPr>
        <w:pStyle w:val="FirstParagraph"/>
      </w:pPr>
      <w:r>
        <w:rPr>
          <w:b/>
          <w:bCs/>
        </w:rPr>
        <w:t xml:space="preserve">Talk Track</w:t>
      </w:r>
      <w:r>
        <w:t xml:space="preserve">:</w:t>
      </w:r>
      <w:r>
        <w:t xml:space="preserve"> </w:t>
      </w:r>
      <w:r>
        <w:t xml:space="preserve">“The third pillar addresses a critical constraint that kills most sophisticated targeting initiatives: programmatic advertising operates in 100-millisecond windows, but meaningful causal inference takes seconds. You can’t run uplift models in real-time during RTB auctions. The solution isn’t real-time causal inference – it’s pre-computed intelligence with instant activation. Bank of America demonstrates this perfectly: they run X-Learner offline to identify Persuadables, upload those audiences with premium bid settings, and achieve 28% improvements in incremental conversion. The key is designing for operational constraints while preserving statistical sophistication.”</w:t>
      </w:r>
    </w:p>
    <w:bookmarkEnd w:id="17"/>
    <w:bookmarkEnd w:id="18"/>
    <w:bookmarkStart w:id="20" w:name="Xa721f7a0c936b596cfb00b76f8725e6c8543def"/>
    <w:p>
      <w:pPr>
        <w:pStyle w:val="Heading2"/>
      </w:pPr>
      <w:r>
        <w:t xml:space="preserve">SLIDE 8:</w:t>
      </w:r>
      <w:r>
        <w:t xml:space="preserve"> </w:t>
      </w:r>
      <w:r>
        <w:t xml:space="preserve">“Pillar 4: How This Becomes Affordable - The Acquisition-Retention Flywheel”</w:t>
      </w:r>
    </w:p>
    <w:p>
      <w:pPr>
        <w:pStyle w:val="FirstParagraph"/>
      </w:pPr>
      <w:r>
        <w:rPr>
          <w:b/>
          <w:bCs/>
        </w:rPr>
        <w:t xml:space="preserve">Visual</w:t>
      </w:r>
      <w:r>
        <w:t xml:space="preserve">: Flywheel diagram showing targeting quality to retention to LTV to acquisition capacity to compounding growth</w:t>
      </w:r>
    </w:p>
    <w:p>
      <w:pPr>
        <w:pStyle w:val="BodyText"/>
      </w:pPr>
      <w:r>
        <w:rPr>
          <w:b/>
          <w:bCs/>
        </w:rPr>
        <w:t xml:space="preserve">Duration</w:t>
      </w:r>
      <w:r>
        <w:t xml:space="preserve">: 4 minutes</w:t>
      </w:r>
    </w:p>
    <w:p>
      <w:pPr>
        <w:pStyle w:val="BodyText"/>
      </w:pPr>
      <w:r>
        <w:rPr>
          <w:b/>
          <w:bCs/>
        </w:rPr>
        <w:t xml:space="preserve">Bullet Points:</w:t>
      </w:r>
    </w:p>
    <w:p>
      <w:pPr>
        <w:pStyle w:val="Compact"/>
        <w:numPr>
          <w:ilvl w:val="0"/>
          <w:numId w:val="1017"/>
        </w:numPr>
      </w:pPr>
      <w:r>
        <w:rPr>
          <w:b/>
          <w:bCs/>
        </w:rPr>
        <w:t xml:space="preserve">The Affordability Question</w:t>
      </w:r>
      <w:r>
        <w:t xml:space="preserve">:</w:t>
      </w:r>
      <w:r>
        <w:t xml:space="preserve"> </w:t>
      </w:r>
      <w:r>
        <w:t xml:space="preserve">“Higher CPMs sound expensive – how is this financially viable?”</w:t>
      </w:r>
    </w:p>
    <w:p>
      <w:pPr>
        <w:pStyle w:val="Compact"/>
        <w:numPr>
          <w:ilvl w:val="0"/>
          <w:numId w:val="1017"/>
        </w:numPr>
      </w:pPr>
      <w:r>
        <w:rPr>
          <w:b/>
          <w:bCs/>
        </w:rPr>
        <w:t xml:space="preserve">The Flywheel Answer</w:t>
      </w:r>
      <w:r>
        <w:t xml:space="preserve">: Quality targeting drives retention, which enables more acquisition spending</w:t>
      </w:r>
    </w:p>
    <w:p>
      <w:pPr>
        <w:pStyle w:val="Compact"/>
        <w:numPr>
          <w:ilvl w:val="0"/>
          <w:numId w:val="1017"/>
        </w:numPr>
      </w:pPr>
      <w:r>
        <w:rPr>
          <w:b/>
          <w:bCs/>
        </w:rPr>
        <w:t xml:space="preserve">The Compounding Effect</w:t>
      </w:r>
      <w:r>
        <w:t xml:space="preserve">: Better customers stay longer and spend more, funding continued precision</w:t>
      </w:r>
    </w:p>
    <w:p>
      <w:pPr>
        <w:pStyle w:val="Compact"/>
        <w:numPr>
          <w:ilvl w:val="0"/>
          <w:numId w:val="1017"/>
        </w:numPr>
      </w:pPr>
      <w:r>
        <w:rPr>
          <w:b/>
          <w:bCs/>
        </w:rPr>
        <w:t xml:space="preserve">The Competitive Moat</w:t>
      </w:r>
      <w:r>
        <w:t xml:space="preserve">: Creates sustainable advantage through superior unit economics</w:t>
      </w:r>
    </w:p>
    <w:bookmarkStart w:id="19" w:name="research-backed-flywheel-mechanics"/>
    <w:p>
      <w:pPr>
        <w:pStyle w:val="Heading3"/>
      </w:pPr>
      <w:r>
        <w:t xml:space="preserve">Research-Backed Flywheel Mechanics</w:t>
      </w:r>
    </w:p>
    <w:p>
      <w:pPr>
        <w:pStyle w:val="FirstParagraph"/>
      </w:pPr>
      <w:r>
        <w:rPr>
          <w:b/>
          <w:bCs/>
        </w:rPr>
        <w:t xml:space="preserve">Quality Targeting –&gt; Higher Retention</w:t>
      </w:r>
    </w:p>
    <w:p>
      <w:pPr>
        <w:pStyle w:val="Compact"/>
        <w:numPr>
          <w:ilvl w:val="0"/>
          <w:numId w:val="1018"/>
        </w:numPr>
      </w:pPr>
      <w:r>
        <w:t xml:space="preserve">Focus Optimal: Persuadables showed 30% higher net LTV than Sure Things</w:t>
      </w:r>
    </w:p>
    <w:p>
      <w:pPr>
        <w:pStyle w:val="Compact"/>
        <w:numPr>
          <w:ilvl w:val="0"/>
          <w:numId w:val="1018"/>
        </w:numPr>
      </w:pPr>
      <w:r>
        <w:t xml:space="preserve">Customer Science pilot: 90-day uplift targeting – 2.3 pt churn reduction</w:t>
      </w:r>
    </w:p>
    <w:p>
      <w:pPr>
        <w:pStyle w:val="FirstParagraph"/>
      </w:pPr>
      <w:r>
        <w:rPr>
          <w:b/>
          <w:bCs/>
        </w:rPr>
        <w:t xml:space="preserve">Higher Retention –&gt; Expanded LTV</w:t>
      </w:r>
    </w:p>
    <w:p>
      <w:pPr>
        <w:pStyle w:val="Compact"/>
        <w:numPr>
          <w:ilvl w:val="0"/>
          <w:numId w:val="1019"/>
        </w:numPr>
      </w:pPr>
      <w:r>
        <w:t xml:space="preserve">Fred Reichheld research: 5-point retention improvement – 75% average CLV increase</w:t>
      </w:r>
    </w:p>
    <w:p>
      <w:pPr>
        <w:pStyle w:val="Compact"/>
        <w:numPr>
          <w:ilvl w:val="0"/>
          <w:numId w:val="1019"/>
        </w:numPr>
      </w:pPr>
      <w:r>
        <w:t xml:space="preserve">Bain &amp; Company: 5% retention improvement – 25-95% profit increase</w:t>
      </w:r>
    </w:p>
    <w:p>
      <w:pPr>
        <w:pStyle w:val="FirstParagraph"/>
      </w:pPr>
      <w:r>
        <w:rPr>
          <w:b/>
          <w:bCs/>
        </w:rPr>
        <w:t xml:space="preserve">Expanded LTV –&gt; More Acquisition Capacity</w:t>
      </w:r>
    </w:p>
    <w:p>
      <w:pPr>
        <w:pStyle w:val="Compact"/>
        <w:numPr>
          <w:ilvl w:val="0"/>
          <w:numId w:val="1020"/>
        </w:numPr>
      </w:pPr>
      <w:r>
        <w:t xml:space="preserve">Higher LTV enables 2-3x acquisition spending while maintaining 3:1 ratios</w:t>
      </w:r>
    </w:p>
    <w:p>
      <w:pPr>
        <w:pStyle w:val="Compact"/>
        <w:numPr>
          <w:ilvl w:val="0"/>
          <w:numId w:val="1020"/>
        </w:numPr>
      </w:pPr>
      <w:r>
        <w:t xml:space="preserve">Bank of America example: $3M+ budget reallocation from efficiency gains</w:t>
      </w:r>
    </w:p>
    <w:p>
      <w:pPr>
        <w:pStyle w:val="FirstParagraph"/>
      </w:pPr>
      <w:r>
        <w:rPr>
          <w:b/>
          <w:bCs/>
        </w:rPr>
        <w:t xml:space="preserve">More Acquisition –&gt; Scale Advantages</w:t>
      </w:r>
    </w:p>
    <w:p>
      <w:pPr>
        <w:pStyle w:val="Compact"/>
        <w:numPr>
          <w:ilvl w:val="0"/>
          <w:numId w:val="1021"/>
        </w:numPr>
      </w:pPr>
      <w:r>
        <w:t xml:space="preserve">Premium inventory access through volume commitments</w:t>
      </w:r>
    </w:p>
    <w:p>
      <w:pPr>
        <w:pStyle w:val="Compact"/>
        <w:numPr>
          <w:ilvl w:val="0"/>
          <w:numId w:val="1021"/>
        </w:numPr>
      </w:pPr>
      <w:r>
        <w:t xml:space="preserve">Vendor partnership leverage for better data pricing</w:t>
      </w:r>
    </w:p>
    <w:p>
      <w:pPr>
        <w:pStyle w:val="Compact"/>
        <w:numPr>
          <w:ilvl w:val="0"/>
          <w:numId w:val="1021"/>
        </w:numPr>
      </w:pPr>
      <w:r>
        <w:t xml:space="preserve">Organizational learning effects accelerate optimization</w:t>
      </w:r>
    </w:p>
    <w:p>
      <w:pPr>
        <w:pStyle w:val="FirstParagraph"/>
      </w:pPr>
      <w:r>
        <w:rPr>
          <w:b/>
          <w:bCs/>
        </w:rPr>
        <w:t xml:space="preserve">The Premium Paradox Explained</w:t>
      </w:r>
      <w:r>
        <w:t xml:space="preserve">: Pay 2-3x CPMs –&gt; Zero waste targeting –&gt; 40-68% CPA reduction –&gt; Higher LTV customers –&gt; More acquisition capacity –&gt; Competitive flywheel</w:t>
      </w:r>
    </w:p>
    <w:p>
      <w:pPr>
        <w:pStyle w:val="BodyText"/>
      </w:pPr>
      <w:r>
        <w:rPr>
          <w:b/>
          <w:bCs/>
        </w:rPr>
        <w:t xml:space="preserve">Talk Track</w:t>
      </w:r>
      <w:r>
        <w:t xml:space="preserve">:</w:t>
      </w:r>
      <w:r>
        <w:t xml:space="preserve"> </w:t>
      </w:r>
      <w:r>
        <w:t xml:space="preserve">“Now we address the elephant in the room:</w:t>
      </w:r>
      <w:r>
        <w:t xml:space="preserve"> </w:t>
      </w:r>
      <w:r>
        <w:t xml:space="preserve">‘This sounds expensive – how do we afford higher CPMs?’</w:t>
      </w:r>
      <w:r>
        <w:t xml:space="preserve"> </w:t>
      </w:r>
      <w:r>
        <w:t xml:space="preserve">The answer is the acquisition-retention flywheel. When you target Persuadables instead of Sure Things, you’re not just improving immediate conversion rates – you’re acquiring customers who stay longer and spend more. Focus Optimal proved Persuadables have 30% higher net LTV. Customer Science showed 2.3-point churn reduction from quality targeting. Fred Reichheld’s research demonstrates that 5-point retention improvements increase CLV by 75% on average. This enables you to spend 2-3x more on acquisition while maintaining healthy unit economics. Bank of America reallocated $3M+ through this flywheel effect. You pay premium CPMs but eliminate waste, improve retention, expand LTV, and fund even more precise targeting. It’s not an expense – it’s a compounding investment.”</w:t>
      </w:r>
    </w:p>
    <w:bookmarkEnd w:id="19"/>
    <w:bookmarkEnd w:id="20"/>
    <w:bookmarkStart w:id="24" w:name="X544c764bea351b914cb4ef570ee6fd43fc88180"/>
    <w:p>
      <w:pPr>
        <w:pStyle w:val="Heading2"/>
      </w:pPr>
      <w:r>
        <w:t xml:space="preserve">SLIDE 9:</w:t>
      </w:r>
      <w:r>
        <w:t xml:space="preserve"> </w:t>
      </w:r>
      <w:r>
        <w:t xml:space="preserve">“Your Pragmatic Implementation Roadmap: Start With What You Have”</w:t>
      </w:r>
    </w:p>
    <w:p>
      <w:pPr>
        <w:pStyle w:val="FirstParagraph"/>
      </w:pPr>
      <w:r>
        <w:rPr>
          <w:b/>
          <w:bCs/>
        </w:rPr>
        <w:t xml:space="preserve">Visual</w:t>
      </w:r>
      <w:r>
        <w:t xml:space="preserve">: Three-phase implementation timeline with investment, risk, and ROI projections</w:t>
      </w:r>
    </w:p>
    <w:p>
      <w:pPr>
        <w:pStyle w:val="BodyText"/>
      </w:pPr>
      <w:r>
        <w:rPr>
          <w:b/>
          <w:bCs/>
        </w:rPr>
        <w:t xml:space="preserve">Duration</w:t>
      </w:r>
      <w:r>
        <w:t xml:space="preserve">: 4 minutes</w:t>
      </w:r>
    </w:p>
    <w:p>
      <w:pPr>
        <w:pStyle w:val="BodyText"/>
      </w:pPr>
      <w:r>
        <w:rPr>
          <w:b/>
          <w:bCs/>
        </w:rPr>
        <w:t xml:space="preserve">Bullet Points:</w:t>
      </w:r>
    </w:p>
    <w:p>
      <w:pPr>
        <w:pStyle w:val="Compact"/>
        <w:numPr>
          <w:ilvl w:val="0"/>
          <w:numId w:val="1022"/>
        </w:numPr>
      </w:pPr>
      <w:r>
        <w:rPr>
          <w:b/>
          <w:bCs/>
        </w:rPr>
        <w:t xml:space="preserve">The Key Insight</w:t>
      </w:r>
      <w:r>
        <w:t xml:space="preserve">: You don’t need new technology or data – you can start immediately with existing assets</w:t>
      </w:r>
    </w:p>
    <w:p>
      <w:pPr>
        <w:pStyle w:val="Compact"/>
        <w:numPr>
          <w:ilvl w:val="0"/>
          <w:numId w:val="1022"/>
        </w:numPr>
      </w:pPr>
      <w:r>
        <w:rPr>
          <w:b/>
          <w:bCs/>
        </w:rPr>
        <w:t xml:space="preserve">Phase 1</w:t>
      </w:r>
      <w:r>
        <w:t xml:space="preserve">: Immediate wins using historical data and current DSP capabilities (4-6 weeks)</w:t>
      </w:r>
    </w:p>
    <w:p>
      <w:pPr>
        <w:pStyle w:val="Compact"/>
        <w:numPr>
          <w:ilvl w:val="0"/>
          <w:numId w:val="1022"/>
        </w:numPr>
      </w:pPr>
      <w:r>
        <w:rPr>
          <w:b/>
          <w:bCs/>
        </w:rPr>
        <w:t xml:space="preserve">Phase 2</w:t>
      </w:r>
      <w:r>
        <w:t xml:space="preserve">: Enhanced integration for deeper optimization (8-12 weeks)</w:t>
      </w:r>
    </w:p>
    <w:p>
      <w:pPr>
        <w:pStyle w:val="Compact"/>
        <w:numPr>
          <w:ilvl w:val="0"/>
          <w:numId w:val="1022"/>
        </w:numPr>
      </w:pPr>
      <w:r>
        <w:rPr>
          <w:b/>
          <w:bCs/>
        </w:rPr>
        <w:t xml:space="preserve">Phase 3</w:t>
      </w:r>
      <w:r>
        <w:t xml:space="preserve">: Advanced infrastructure for competitive moat (12-18 months)</w:t>
      </w:r>
    </w:p>
    <w:bookmarkStart w:id="21" w:name="phase-1-quick-wins-low-risk-high-impact"/>
    <w:p>
      <w:pPr>
        <w:pStyle w:val="Heading3"/>
      </w:pPr>
      <w:r>
        <w:t xml:space="preserve">Phase 1: Quick Wins (Low Risk, High Impact)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Investment</w:t>
            </w:r>
          </w:p>
        </w:tc>
        <w:tc>
          <w:tcPr/>
          <w:p>
            <w:pPr>
              <w:pStyle w:val="Compact"/>
            </w:pPr>
            <w:r>
              <w:t xml:space="preserve">$300-400K</w:t>
            </w:r>
          </w:p>
        </w:tc>
      </w:tr>
      <w:tr>
        <w:tc>
          <w:tcPr/>
          <w:p>
            <w:pPr>
              <w:pStyle w:val="Compact"/>
            </w:pPr>
            <w:r>
              <w:t xml:space="preserve">Expected Lift</w:t>
            </w:r>
          </w:p>
        </w:tc>
        <w:tc>
          <w:tcPr/>
          <w:p>
            <w:pPr>
              <w:pStyle w:val="Compact"/>
            </w:pPr>
            <w:r>
              <w:t xml:space="preserve">+20-30%</w:t>
            </w:r>
          </w:p>
        </w:tc>
      </w:tr>
      <w:tr>
        <w:tc>
          <w:tcPr/>
          <w:p>
            <w:pPr>
              <w:pStyle w:val="Compact"/>
            </w:pPr>
            <w:r>
              <w:t xml:space="preserve">ROI</w:t>
            </w:r>
          </w:p>
        </w:tc>
        <w:tc>
          <w:tcPr/>
          <w:p>
            <w:pPr>
              <w:pStyle w:val="Compact"/>
            </w:pPr>
            <w:r>
              <w:t xml:space="preserve">125-167x</w:t>
            </w:r>
          </w:p>
        </w:tc>
      </w:tr>
      <w:tr>
        <w:tc>
          <w:tcPr/>
          <w:p>
            <w:pPr>
              <w:pStyle w:val="Compact"/>
            </w:pPr>
            <w:r>
              <w:t xml:space="preserve">Risk</w:t>
            </w:r>
          </w:p>
        </w:tc>
        <w:tc>
          <w:tcPr/>
          <w:p>
            <w:pPr>
              <w:pStyle w:val="Compact"/>
            </w:pPr>
            <w:r>
              <w:t xml:space="preserve">LOW</w:t>
            </w:r>
          </w:p>
        </w:tc>
      </w:tr>
      <w:tr>
        <w:tc>
          <w:tcPr/>
          <w:p>
            <w:pPr>
              <w:pStyle w:val="Compact"/>
            </w:pPr>
            <w:r>
              <w:t xml:space="preserve">What You Use</w:t>
            </w:r>
          </w:p>
        </w:tc>
        <w:tc>
          <w:tcPr/>
          <w:p>
            <w:pPr>
              <w:pStyle w:val="Compact"/>
            </w:pPr>
            <w:r>
              <w:t xml:space="preserve">Historical campaign data + existing DSP + X-Learner methodology</w:t>
            </w:r>
          </w:p>
        </w:tc>
      </w:tr>
      <w:tr>
        <w:tc>
          <w:tcPr/>
          <w:p>
            <w:pPr>
              <w:pStyle w:val="Compact"/>
            </w:pPr>
            <w:r>
              <w:t xml:space="preserve">Bank of America Model</w:t>
            </w:r>
          </w:p>
        </w:tc>
        <w:tc>
          <w:tcPr/>
          <w:p>
            <w:pPr>
              <w:pStyle w:val="Compact"/>
            </w:pPr>
            <w:r>
              <w:t xml:space="preserve">X-Learner to Persuadables audience to premium bid strategy – $3M+ savings</w:t>
            </w:r>
          </w:p>
        </w:tc>
      </w:tr>
      <w:tr>
        <w:tc>
          <w:tcPr/>
          <w:p>
            <w:pPr>
              <w:pStyle w:val="Compact"/>
            </w:pPr>
            <w:r>
              <w:t xml:space="preserve">Timeline</w:t>
            </w:r>
          </w:p>
        </w:tc>
        <w:tc>
          <w:tcPr/>
          <w:p>
            <w:pPr>
              <w:pStyle w:val="Compact"/>
            </w:pPr>
            <w:r>
              <w:t xml:space="preserve">Data prep (1 week) + model development (3 weeks) + DSP setup (1 week) + testing (1 week)</w:t>
            </w:r>
          </w:p>
        </w:tc>
      </w:tr>
    </w:tbl>
    <w:bookmarkEnd w:id="21"/>
    <w:bookmarkStart w:id="22" w:name="Xa66f2d9af3d68b917ec128a0a6e2913d6a7c5c4"/>
    <w:p>
      <w:pPr>
        <w:pStyle w:val="Heading3"/>
      </w:pPr>
      <w:r>
        <w:t xml:space="preserve">Phase 2: Enhanced Integration (Medium Investment, Higher Returns)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Investment</w:t>
            </w:r>
          </w:p>
        </w:tc>
        <w:tc>
          <w:tcPr/>
          <w:p>
            <w:pPr>
              <w:pStyle w:val="Compact"/>
            </w:pPr>
            <w:r>
              <w:t xml:space="preserve">Additional $500-700K</w:t>
            </w:r>
          </w:p>
        </w:tc>
      </w:tr>
      <w:tr>
        <w:tc>
          <w:tcPr/>
          <w:p>
            <w:pPr>
              <w:pStyle w:val="Compact"/>
            </w:pPr>
            <w:r>
              <w:t xml:space="preserve">Expected Lift</w:t>
            </w:r>
          </w:p>
        </w:tc>
        <w:tc>
          <w:tcPr/>
          <w:p>
            <w:pPr>
              <w:pStyle w:val="Compact"/>
            </w:pPr>
            <w:r>
              <w:t xml:space="preserve">+40-60%</w:t>
            </w:r>
          </w:p>
        </w:tc>
      </w:tr>
      <w:tr>
        <w:tc>
          <w:tcPr/>
          <w:p>
            <w:pPr>
              <w:pStyle w:val="Compact"/>
            </w:pPr>
            <w:r>
              <w:t xml:space="preserve">ROI</w:t>
            </w:r>
          </w:p>
        </w:tc>
        <w:tc>
          <w:tcPr/>
          <w:p>
            <w:pPr>
              <w:pStyle w:val="Compact"/>
            </w:pPr>
            <w:r>
              <w:t xml:space="preserve">75-100x</w:t>
            </w:r>
          </w:p>
        </w:tc>
      </w:tr>
      <w:tr>
        <w:tc>
          <w:tcPr/>
          <w:p>
            <w:pPr>
              <w:pStyle w:val="Compact"/>
            </w:pPr>
            <w:r>
              <w:t xml:space="preserve">Risk</w:t>
            </w:r>
          </w:p>
        </w:tc>
        <w:tc>
          <w:tcPr/>
          <w:p>
            <w:pPr>
              <w:pStyle w:val="Compact"/>
            </w:pPr>
            <w:r>
              <w:t xml:space="preserve">LOW-MEDIUM</w:t>
            </w:r>
          </w:p>
        </w:tc>
      </w:tr>
      <w:tr>
        <w:tc>
          <w:tcPr/>
          <w:p>
            <w:pPr>
              <w:pStyle w:val="Compact"/>
            </w:pPr>
            <w:r>
              <w:t xml:space="preserve">What You Add</w:t>
            </w:r>
          </w:p>
        </w:tc>
        <w:tc>
          <w:tcPr/>
          <w:p>
            <w:pPr>
              <w:pStyle w:val="Compact"/>
            </w:pPr>
            <w:r>
              <w:t xml:space="preserve">Custom bidding APIs or advanced CDP integration</w:t>
            </w:r>
          </w:p>
        </w:tc>
      </w:tr>
      <w:tr>
        <w:tc>
          <w:tcPr/>
          <w:p>
            <w:pPr>
              <w:pStyle w:val="Compact"/>
            </w:pPr>
            <w:r>
              <w:t xml:space="preserve">DoorDash Model</w:t>
            </w:r>
          </w:p>
        </w:tc>
        <w:tc>
          <w:tcPr/>
          <w:p>
            <w:pPr>
              <w:pStyle w:val="Compact"/>
            </w:pPr>
            <w:r>
              <w:t xml:space="preserve">Double ML + confidence scoring + API integration – 8.03% Qini coefficient</w:t>
            </w:r>
          </w:p>
        </w:tc>
      </w:tr>
      <w:tr>
        <w:tc>
          <w:tcPr/>
          <w:p>
            <w:pPr>
              <w:pStyle w:val="Compact"/>
            </w:pPr>
            <w:r>
              <w:t xml:space="preserve">Timeline</w:t>
            </w:r>
          </w:p>
        </w:tc>
        <w:tc>
          <w:tcPr/>
          <w:p>
            <w:pPr>
              <w:pStyle w:val="Compact"/>
            </w:pPr>
            <w:r>
              <w:t xml:space="preserve">6-8 additional weeks for technical integration</w:t>
            </w:r>
          </w:p>
        </w:tc>
      </w:tr>
    </w:tbl>
    <w:bookmarkEnd w:id="22"/>
    <w:bookmarkStart w:id="23" w:name="Xf0b39a79b9fb505163194a9a66984cf553937fc"/>
    <w:p>
      <w:pPr>
        <w:pStyle w:val="Heading3"/>
      </w:pPr>
      <w:r>
        <w:t xml:space="preserve">Phase 3: Advanced Competitive Moat (Strategic Investment)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Investment</w:t>
            </w:r>
          </w:p>
        </w:tc>
        <w:tc>
          <w:tcPr/>
          <w:p>
            <w:pPr>
              <w:pStyle w:val="Compact"/>
            </w:pPr>
            <w:r>
              <w:t xml:space="preserve">$1M+</w:t>
            </w:r>
          </w:p>
        </w:tc>
      </w:tr>
      <w:tr>
        <w:tc>
          <w:tcPr/>
          <w:p>
            <w:pPr>
              <w:pStyle w:val="Compact"/>
            </w:pPr>
            <w:r>
              <w:t xml:space="preserve">Expected Lift</w:t>
            </w:r>
          </w:p>
        </w:tc>
        <w:tc>
          <w:tcPr/>
          <w:p>
            <w:pPr>
              <w:pStyle w:val="Compact"/>
            </w:pPr>
            <w:r>
              <w:t xml:space="preserve">+100%+</w:t>
            </w:r>
          </w:p>
        </w:tc>
      </w:tr>
      <w:tr>
        <w:tc>
          <w:tcPr/>
          <w:p>
            <w:pPr>
              <w:pStyle w:val="Compact"/>
            </w:pPr>
            <w:r>
              <w:t xml:space="preserve">ROI</w:t>
            </w:r>
          </w:p>
        </w:tc>
        <w:tc>
          <w:tcPr/>
          <w:p>
            <w:pPr>
              <w:pStyle w:val="Compact"/>
            </w:pPr>
            <w:r>
              <w:t xml:space="preserve">50x+</w:t>
            </w:r>
          </w:p>
        </w:tc>
      </w:tr>
      <w:tr>
        <w:tc>
          <w:tcPr/>
          <w:p>
            <w:pPr>
              <w:pStyle w:val="Compact"/>
            </w:pPr>
            <w:r>
              <w:t xml:space="preserve">Risk</w:t>
            </w:r>
          </w:p>
        </w:tc>
        <w:tc>
          <w:tcPr/>
          <w:p>
            <w:pPr>
              <w:pStyle w:val="Compact"/>
            </w:pPr>
            <w:r>
              <w:t xml:space="preserve">MEDIUM</w:t>
            </w:r>
          </w:p>
        </w:tc>
      </w:tr>
      <w:tr>
        <w:tc>
          <w:tcPr/>
          <w:p>
            <w:pPr>
              <w:pStyle w:val="Compact"/>
            </w:pPr>
            <w:r>
              <w:t xml:space="preserve">What You Build</w:t>
            </w:r>
          </w:p>
        </w:tc>
        <w:tc>
          <w:tcPr/>
          <w:p>
            <w:pPr>
              <w:pStyle w:val="Compact"/>
            </w:pPr>
            <w:r>
              <w:t xml:space="preserve">Real-time causal inference with proprietary data integration</w:t>
            </w:r>
          </w:p>
        </w:tc>
      </w:tr>
      <w:tr>
        <w:tc>
          <w:tcPr/>
          <w:p>
            <w:pPr>
              <w:pStyle w:val="Compact"/>
            </w:pPr>
            <w:r>
              <w:t xml:space="preserve">Trade Desk Model</w:t>
            </w:r>
          </w:p>
        </w:tc>
        <w:tc>
          <w:tcPr/>
          <w:p>
            <w:pPr>
              <w:pStyle w:val="Compact"/>
            </w:pPr>
            <w:r>
              <w:t xml:space="preserve">600B+ daily impression scale with millisecond causal scoring</w:t>
            </w:r>
          </w:p>
        </w:tc>
      </w:tr>
      <w:tr>
        <w:tc>
          <w:tcPr/>
          <w:p>
            <w:pPr>
              <w:pStyle w:val="Compact"/>
            </w:pPr>
            <w:r>
              <w:t xml:space="preserve">Timeline</w:t>
            </w:r>
          </w:p>
        </w:tc>
        <w:tc>
          <w:tcPr/>
          <w:p>
            <w:pPr>
              <w:pStyle w:val="Compact"/>
            </w:pPr>
            <w:r>
              <w:t xml:space="preserve">12-18 months for full competitive differentiation</w:t>
            </w:r>
          </w:p>
        </w:tc>
      </w:tr>
    </w:tbl>
    <w:p>
      <w:pPr>
        <w:pStyle w:val="BodyText"/>
      </w:pPr>
      <w:r>
        <w:rPr>
          <w:b/>
          <w:bCs/>
        </w:rPr>
        <w:t xml:space="preserve">Critical Success Factors</w:t>
      </w:r>
      <w:r>
        <w:t xml:space="preserve">: Most banks already have everything needed for Phase 1 – historical conversion data with treatment/control groups from past campaigns</w:t>
      </w:r>
    </w:p>
    <w:p>
      <w:pPr>
        <w:pStyle w:val="BodyText"/>
      </w:pPr>
      <w:r>
        <w:rPr>
          <w:b/>
          <w:bCs/>
        </w:rPr>
        <w:t xml:space="preserve">Talk Track</w:t>
      </w:r>
      <w:r>
        <w:t xml:space="preserve">:</w:t>
      </w:r>
      <w:r>
        <w:t xml:space="preserve"> </w:t>
      </w:r>
      <w:r>
        <w:t xml:space="preserve">“Here’s the most important insight: you can start immediately with what you already have. Phase 1 requires only historical campaign data and your existing DSP – assets most banks already possess. Bank of America’s approach proves this: they used X-Learner on historical data, uploaded Persuadables to their DSP with premium bid settings, and saved over $3 million in six weeks. Phase 1 delivers 125-167x ROI with minimal risk because you’re not building new infrastructure – you’re applying different logic to existing assets. Phase 2 adds technical integration for deeper optimization. Phase 3 builds long-term competitive advantages. But you can see meaningful results in 4-6 weeks using what you have right now.”</w:t>
      </w:r>
    </w:p>
    <w:bookmarkEnd w:id="23"/>
    <w:bookmarkEnd w:id="24"/>
    <w:bookmarkStart w:id="29" w:name="Xe728d6a5d3195f1ba630a14a4b8ff5f84f84072"/>
    <w:p>
      <w:pPr>
        <w:pStyle w:val="Heading2"/>
      </w:pPr>
      <w:r>
        <w:t xml:space="preserve">SLIDE 10:</w:t>
      </w:r>
      <w:r>
        <w:t xml:space="preserve"> </w:t>
      </w:r>
      <w:r>
        <w:t xml:space="preserve">“Proof Points: The Complete System Delivering Breakthrough Results”</w:t>
      </w:r>
    </w:p>
    <w:p>
      <w:pPr>
        <w:pStyle w:val="FirstParagraph"/>
      </w:pPr>
      <w:r>
        <w:rPr>
          <w:b/>
          <w:bCs/>
        </w:rPr>
        <w:t xml:space="preserve">Visual</w:t>
      </w:r>
      <w:r>
        <w:t xml:space="preserve">: Comprehensive results dashboard showing multiple case studies with timelines and outcomes</w:t>
      </w:r>
    </w:p>
    <w:p>
      <w:pPr>
        <w:pStyle w:val="BodyText"/>
      </w:pPr>
      <w:r>
        <w:rPr>
          <w:b/>
          <w:bCs/>
        </w:rPr>
        <w:t xml:space="preserve">Duration</w:t>
      </w:r>
      <w:r>
        <w:t xml:space="preserve">: 4.5 minutes</w:t>
      </w:r>
    </w:p>
    <w:bookmarkStart w:id="25" w:name="Xda294da3f9e3a0f240d9573aa76f570bf6a7bbb"/>
    <w:p>
      <w:pPr>
        <w:pStyle w:val="Heading3"/>
      </w:pPr>
      <w:r>
        <w:t xml:space="preserve">Case Study 1: U.S. Bank - Full Methodology Transformation</w:t>
      </w:r>
    </w:p>
    <w:p>
      <w:pPr>
        <w:pStyle w:val="Compact"/>
        <w:numPr>
          <w:ilvl w:val="0"/>
          <w:numId w:val="1023"/>
        </w:numPr>
      </w:pPr>
      <w:r>
        <w:rPr>
          <w:b/>
          <w:bCs/>
        </w:rPr>
        <w:t xml:space="preserve">Challenge</w:t>
      </w:r>
      <w:r>
        <w:t xml:space="preserve">: Traditional propensity models plateauing at industry-standard performance</w:t>
      </w:r>
    </w:p>
    <w:p>
      <w:pPr>
        <w:pStyle w:val="Compact"/>
        <w:numPr>
          <w:ilvl w:val="0"/>
          <w:numId w:val="1023"/>
        </w:numPr>
      </w:pPr>
      <w:r>
        <w:rPr>
          <w:b/>
          <w:bCs/>
        </w:rPr>
        <w:t xml:space="preserve">Four-Pillar Implementation</w:t>
      </w:r>
      <w:r>
        <w:t xml:space="preserve">:</w:t>
      </w:r>
    </w:p>
    <w:p>
      <w:pPr>
        <w:pStyle w:val="Compact"/>
        <w:numPr>
          <w:ilvl w:val="1"/>
          <w:numId w:val="1024"/>
        </w:numPr>
      </w:pPr>
      <w:r>
        <w:t xml:space="preserve">Pillar 1: Full uplift modeling with causal audience redefinition</w:t>
      </w:r>
    </w:p>
    <w:p>
      <w:pPr>
        <w:pStyle w:val="Compact"/>
        <w:numPr>
          <w:ilvl w:val="1"/>
          <w:numId w:val="1024"/>
        </w:numPr>
      </w:pPr>
      <w:r>
        <w:t xml:space="preserve">Pillar 2: Custom DSP integration with precision targeting</w:t>
      </w:r>
    </w:p>
    <w:p>
      <w:pPr>
        <w:pStyle w:val="Compact"/>
        <w:numPr>
          <w:ilvl w:val="1"/>
          <w:numId w:val="1024"/>
        </w:numPr>
      </w:pPr>
      <w:r>
        <w:t xml:space="preserve">Pillar 3: Pre-computed scoring for 100ms activation</w:t>
      </w:r>
    </w:p>
    <w:p>
      <w:pPr>
        <w:pStyle w:val="Compact"/>
        <w:numPr>
          <w:ilvl w:val="1"/>
          <w:numId w:val="1024"/>
        </w:numPr>
      </w:pPr>
      <w:r>
        <w:t xml:space="preserve">Pillar 4: Retention tracking to validate flywheel effects</w:t>
      </w:r>
    </w:p>
    <w:p>
      <w:pPr>
        <w:pStyle w:val="Compact"/>
        <w:numPr>
          <w:ilvl w:val="0"/>
          <w:numId w:val="1023"/>
        </w:numPr>
      </w:pPr>
      <w:r>
        <w:rPr>
          <w:b/>
          <w:bCs/>
        </w:rPr>
        <w:t xml:space="preserve">Timeline</w:t>
      </w:r>
      <w:r>
        <w:t xml:space="preserve">: 12-week systematic implementation</w:t>
      </w:r>
    </w:p>
    <w:p>
      <w:pPr>
        <w:pStyle w:val="Compact"/>
        <w:numPr>
          <w:ilvl w:val="0"/>
          <w:numId w:val="1023"/>
        </w:numPr>
      </w:pPr>
      <w:r>
        <w:rPr>
          <w:b/>
          <w:bCs/>
        </w:rPr>
        <w:t xml:space="preserve">Results</w:t>
      </w:r>
      <w:r>
        <w:t xml:space="preserve">:</w:t>
      </w:r>
      <w:r>
        <w:t xml:space="preserve"> </w:t>
      </w:r>
      <w:r>
        <w:rPr>
          <w:b/>
          <w:bCs/>
        </w:rPr>
        <w:t xml:space="preserve">192% higher ROI</w:t>
      </w:r>
      <w:r>
        <w:t xml:space="preserve"> </w:t>
      </w:r>
      <w:r>
        <w:t xml:space="preserve">compared to legacy propensity approach</w:t>
      </w:r>
    </w:p>
    <w:p>
      <w:pPr>
        <w:pStyle w:val="Compact"/>
        <w:numPr>
          <w:ilvl w:val="0"/>
          <w:numId w:val="1023"/>
        </w:numPr>
      </w:pPr>
      <w:r>
        <w:rPr>
          <w:b/>
          <w:bCs/>
        </w:rPr>
        <w:t xml:space="preserve">Learning</w:t>
      </w:r>
      <w:r>
        <w:t xml:space="preserve">: Complete methodology transformation delivers more impact than any data acquisition</w:t>
      </w:r>
    </w:p>
    <w:bookmarkEnd w:id="25"/>
    <w:bookmarkStart w:id="26" w:name="X317887e7e2809a63b3b5e6f3c877bb56d6fcad7"/>
    <w:p>
      <w:pPr>
        <w:pStyle w:val="Heading3"/>
      </w:pPr>
      <w:r>
        <w:t xml:space="preserve">Case Study 2: Bank of America - Rapid Value Creation</w:t>
      </w:r>
    </w:p>
    <w:p>
      <w:pPr>
        <w:pStyle w:val="Compact"/>
        <w:numPr>
          <w:ilvl w:val="0"/>
          <w:numId w:val="1025"/>
        </w:numPr>
      </w:pPr>
      <w:r>
        <w:rPr>
          <w:b/>
          <w:bCs/>
        </w:rPr>
        <w:t xml:space="preserve">Challenge</w:t>
      </w:r>
      <w:r>
        <w:t xml:space="preserve">: Premium card budgets wastefully targeting Sure Things</w:t>
      </w:r>
    </w:p>
    <w:p>
      <w:pPr>
        <w:pStyle w:val="Compact"/>
        <w:numPr>
          <w:ilvl w:val="0"/>
          <w:numId w:val="1025"/>
        </w:numPr>
      </w:pPr>
      <w:r>
        <w:rPr>
          <w:b/>
          <w:bCs/>
        </w:rPr>
        <w:t xml:space="preserve">Focused Implementation</w:t>
      </w:r>
      <w:r>
        <w:t xml:space="preserve">:</w:t>
      </w:r>
    </w:p>
    <w:p>
      <w:pPr>
        <w:pStyle w:val="Compact"/>
        <w:numPr>
          <w:ilvl w:val="1"/>
          <w:numId w:val="1026"/>
        </w:numPr>
      </w:pPr>
      <w:r>
        <w:t xml:space="preserve">Pillar 1: X-Learner segmentation to identify Persuadables vs. Sure Things</w:t>
      </w:r>
    </w:p>
    <w:p>
      <w:pPr>
        <w:pStyle w:val="Compact"/>
        <w:numPr>
          <w:ilvl w:val="1"/>
          <w:numId w:val="1026"/>
        </w:numPr>
      </w:pPr>
      <w:r>
        <w:t xml:space="preserve">Pillar 2: Audience upload to DSP with differentiated bid strategies</w:t>
      </w:r>
    </w:p>
    <w:p>
      <w:pPr>
        <w:pStyle w:val="Compact"/>
        <w:numPr>
          <w:ilvl w:val="1"/>
          <w:numId w:val="1026"/>
        </w:numPr>
      </w:pPr>
      <w:r>
        <w:t xml:space="preserve">Pillar 4: Budget reallocation tracking for retention impact</w:t>
      </w:r>
    </w:p>
    <w:p>
      <w:pPr>
        <w:pStyle w:val="Compact"/>
        <w:numPr>
          <w:ilvl w:val="0"/>
          <w:numId w:val="1025"/>
        </w:numPr>
      </w:pPr>
      <w:r>
        <w:rPr>
          <w:b/>
          <w:bCs/>
        </w:rPr>
        <w:t xml:space="preserve">Timeline</w:t>
      </w:r>
      <w:r>
        <w:t xml:space="preserve">: 6-week rapid deployment using existing DSP infrastructure</w:t>
      </w:r>
    </w:p>
    <w:p>
      <w:pPr>
        <w:pStyle w:val="Compact"/>
        <w:numPr>
          <w:ilvl w:val="0"/>
          <w:numId w:val="1025"/>
        </w:numPr>
      </w:pPr>
      <w:r>
        <w:rPr>
          <w:b/>
          <w:bCs/>
        </w:rPr>
        <w:t xml:space="preserve">Results</w:t>
      </w:r>
      <w:r>
        <w:t xml:space="preserve">:</w:t>
      </w:r>
      <w:r>
        <w:t xml:space="preserve"> </w:t>
      </w:r>
      <w:r>
        <w:rPr>
          <w:b/>
          <w:bCs/>
        </w:rPr>
        <w:t xml:space="preserve">$3M+ savings</w:t>
      </w:r>
      <w:r>
        <w:t xml:space="preserve"> </w:t>
      </w:r>
      <w:r>
        <w:t xml:space="preserve">through targeted budget reallocation +</w:t>
      </w:r>
      <w:r>
        <w:t xml:space="preserve"> </w:t>
      </w:r>
      <w:r>
        <w:rPr>
          <w:b/>
          <w:bCs/>
        </w:rPr>
        <w:t xml:space="preserve">28% incremental conversion improvement</w:t>
      </w:r>
    </w:p>
    <w:p>
      <w:pPr>
        <w:pStyle w:val="Compact"/>
        <w:numPr>
          <w:ilvl w:val="0"/>
          <w:numId w:val="1025"/>
        </w:numPr>
      </w:pPr>
      <w:r>
        <w:rPr>
          <w:b/>
          <w:bCs/>
        </w:rPr>
        <w:t xml:space="preserve">Learning</w:t>
      </w:r>
      <w:r>
        <w:t xml:space="preserve">: Immediate value creation possible with existing technology stack</w:t>
      </w:r>
    </w:p>
    <w:bookmarkEnd w:id="26"/>
    <w:bookmarkStart w:id="27" w:name="X0f49d6c0fbfc2f19506f1e8a2c835339279ab88"/>
    <w:p>
      <w:pPr>
        <w:pStyle w:val="Heading3"/>
      </w:pPr>
      <w:r>
        <w:t xml:space="preserve">Case Study 3: Customer Science Insurer - Flywheel Validation</w:t>
      </w:r>
    </w:p>
    <w:p>
      <w:pPr>
        <w:pStyle w:val="Compact"/>
        <w:numPr>
          <w:ilvl w:val="0"/>
          <w:numId w:val="1027"/>
        </w:numPr>
      </w:pPr>
      <w:r>
        <w:rPr>
          <w:b/>
          <w:bCs/>
        </w:rPr>
        <w:t xml:space="preserve">Challenge</w:t>
      </w:r>
      <w:r>
        <w:t xml:space="preserve">: Prove causal link between targeting quality and retention outcomes</w:t>
      </w:r>
    </w:p>
    <w:p>
      <w:pPr>
        <w:pStyle w:val="Compact"/>
        <w:numPr>
          <w:ilvl w:val="0"/>
          <w:numId w:val="1027"/>
        </w:numPr>
      </w:pPr>
      <w:r>
        <w:rPr>
          <w:b/>
          <w:bCs/>
        </w:rPr>
        <w:t xml:space="preserve">System Testing</w:t>
      </w:r>
      <w:r>
        <w:t xml:space="preserve">:</w:t>
      </w:r>
    </w:p>
    <w:p>
      <w:pPr>
        <w:pStyle w:val="Compact"/>
        <w:numPr>
          <w:ilvl w:val="1"/>
          <w:numId w:val="1028"/>
        </w:numPr>
      </w:pPr>
      <w:r>
        <w:t xml:space="preserve">Pillar 1: Uplift modeling to identify high-retention-potential customers</w:t>
      </w:r>
    </w:p>
    <w:p>
      <w:pPr>
        <w:pStyle w:val="Compact"/>
        <w:numPr>
          <w:ilvl w:val="1"/>
          <w:numId w:val="1028"/>
        </w:numPr>
      </w:pPr>
      <w:r>
        <w:t xml:space="preserve">Pillar 4: 90-day retention tracking with proper holdout groups</w:t>
      </w:r>
    </w:p>
    <w:p>
      <w:pPr>
        <w:pStyle w:val="Compact"/>
        <w:numPr>
          <w:ilvl w:val="0"/>
          <w:numId w:val="1027"/>
        </w:numPr>
      </w:pPr>
      <w:r>
        <w:rPr>
          <w:b/>
          <w:bCs/>
        </w:rPr>
        <w:t xml:space="preserve">Results</w:t>
      </w:r>
      <w:r>
        <w:t xml:space="preserve">:</w:t>
      </w:r>
      <w:r>
        <w:t xml:space="preserve"> </w:t>
      </w:r>
      <w:r>
        <w:rPr>
          <w:b/>
          <w:bCs/>
        </w:rPr>
        <w:t xml:space="preserve">2.3 percentage point churn reduction</w:t>
      </w:r>
      <w:r>
        <w:t xml:space="preserve"> </w:t>
      </w:r>
      <w:r>
        <w:t xml:space="preserve">+</w:t>
      </w:r>
      <w:r>
        <w:t xml:space="preserve"> </w:t>
      </w:r>
      <w:r>
        <w:rPr>
          <w:b/>
          <w:bCs/>
        </w:rPr>
        <w:t xml:space="preserve">14% discount cost decrease</w:t>
      </w:r>
    </w:p>
    <w:p>
      <w:pPr>
        <w:pStyle w:val="Compact"/>
        <w:numPr>
          <w:ilvl w:val="0"/>
          <w:numId w:val="1027"/>
        </w:numPr>
      </w:pPr>
      <w:r>
        <w:rPr>
          <w:b/>
          <w:bCs/>
        </w:rPr>
        <w:t xml:space="preserve">Learning</w:t>
      </w:r>
      <w:r>
        <w:t xml:space="preserve">: Quality targeting creates measurable, compounding retention benefits</w:t>
      </w:r>
    </w:p>
    <w:bookmarkEnd w:id="27"/>
    <w:bookmarkStart w:id="28" w:name="cross-case-performance-metrics"/>
    <w:p>
      <w:pPr>
        <w:pStyle w:val="Heading3"/>
      </w:pPr>
      <w:r>
        <w:t xml:space="preserve">Cross-Case Performance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Implementation Timeline</w:t>
            </w:r>
          </w:p>
        </w:tc>
        <w:tc>
          <w:tcPr/>
          <w:p>
            <w:pPr>
              <w:pStyle w:val="Compact"/>
            </w:pPr>
            <w:r>
              <w:t xml:space="preserve">6-12 weeks for meaningful results (vs. 12-18 months for traditional data initiatives)</w:t>
            </w:r>
          </w:p>
        </w:tc>
      </w:tr>
      <w:tr>
        <w:tc>
          <w:tcPr/>
          <w:p>
            <w:pPr>
              <w:pStyle w:val="Compact"/>
            </w:pPr>
            <w:r>
              <w:t xml:space="preserve">ROI Range</w:t>
            </w:r>
          </w:p>
        </w:tc>
        <w:tc>
          <w:tcPr/>
          <w:p>
            <w:pPr>
              <w:pStyle w:val="Compact"/>
            </w:pPr>
            <w:r>
              <w:t xml:space="preserve">125-530% returns in first year</w:t>
            </w:r>
          </w:p>
        </w:tc>
      </w:tr>
      <w:tr>
        <w:tc>
          <w:tcPr/>
          <w:p>
            <w:pPr>
              <w:pStyle w:val="Compact"/>
            </w:pPr>
            <w:r>
              <w:t xml:space="preserve">Sustainability</w:t>
            </w:r>
          </w:p>
        </w:tc>
        <w:tc>
          <w:tcPr/>
          <w:p>
            <w:pPr>
              <w:pStyle w:val="Compact"/>
            </w:pPr>
            <w:r>
              <w:t xml:space="preserve">Results improve over time due to flywheel effects rather than decay</w:t>
            </w:r>
          </w:p>
        </w:tc>
      </w:tr>
      <w:tr>
        <w:tc>
          <w:tcPr/>
          <w:p>
            <w:pPr>
              <w:pStyle w:val="Compact"/>
            </w:pPr>
            <w:r>
              <w:t xml:space="preserve">Technology Requirements</w:t>
            </w:r>
          </w:p>
        </w:tc>
        <w:tc>
          <w:tcPr/>
          <w:p>
            <w:pPr>
              <w:pStyle w:val="Compact"/>
            </w:pPr>
            <w:r>
              <w:t xml:space="preserve">Existing data + existing DSP capabilities sufficient for Phase 1</w:t>
            </w:r>
          </w:p>
        </w:tc>
      </w:tr>
    </w:tbl>
    <w:p>
      <w:pPr>
        <w:pStyle w:val="BodyText"/>
      </w:pPr>
      <w:r>
        <w:rPr>
          <w:b/>
          <w:bCs/>
        </w:rPr>
        <w:t xml:space="preserve">Industry Validation</w:t>
      </w:r>
      <w:r>
        <w:t xml:space="preserve">: JPMorgan, Wells Fargo, Barclays implementing systematic causal targeting approaches</w:t>
      </w:r>
    </w:p>
    <w:p>
      <w:pPr>
        <w:pStyle w:val="BodyText"/>
      </w:pPr>
      <w:r>
        <w:rPr>
          <w:b/>
          <w:bCs/>
        </w:rPr>
        <w:t xml:space="preserve">Talk Track</w:t>
      </w:r>
      <w:r>
        <w:t xml:space="preserve">:</w:t>
      </w:r>
      <w:r>
        <w:t xml:space="preserve"> </w:t>
      </w:r>
      <w:r>
        <w:t xml:space="preserve">“These aren’t theoretical projections – these are measured results from organizations that implemented the complete four-pillar system. U.S. Bank achieved 192% ROI improvement through comprehensive methodology transformation. Bank of America saved over $3 million in six weeks using existing infrastructure. Customer Science proved the retention flywheel with measurable churn reduction and cost improvements. The pattern is consistent: systematic causal approaches deliver breakthrough performance within quarters, not years. The methodologies are proven, the technology exists, the results are measurable. The question isn’t whether this works – it’s whether you’ll be among the early adopters building competitive advantages or among the followers playing catch-up.”</w:t>
      </w:r>
    </w:p>
    <w:bookmarkEnd w:id="28"/>
    <w:bookmarkEnd w:id="29"/>
    <w:bookmarkStart w:id="30" w:name="X3967c7dfe04a304041fb5cf087727abaf811012"/>
    <w:p>
      <w:pPr>
        <w:pStyle w:val="Heading2"/>
      </w:pPr>
      <w:r>
        <w:t xml:space="preserve">SLIDE 11:</w:t>
      </w:r>
      <w:r>
        <w:t xml:space="preserve"> </w:t>
      </w:r>
      <w:r>
        <w:t xml:space="preserve">“Three Pathways to Bridge Models and Bidding”</w:t>
      </w:r>
    </w:p>
    <w:p>
      <w:pPr>
        <w:pStyle w:val="FirstParagraph"/>
      </w:pPr>
      <w:r>
        <w:rPr>
          <w:b/>
          <w:bCs/>
        </w:rPr>
        <w:t xml:space="preserve">Visual</w:t>
      </w:r>
      <w:r>
        <w:t xml:space="preserve">: Three-pathway diagram with complexity and effectiveness ratings</w:t>
      </w:r>
    </w:p>
    <w:p>
      <w:pPr>
        <w:pStyle w:val="BodyText"/>
      </w:pPr>
      <w:r>
        <w:rPr>
          <w:b/>
          <w:bCs/>
        </w:rPr>
        <w:t xml:space="preserve">Duration</w:t>
      </w:r>
      <w:r>
        <w:t xml:space="preserve">: 3 minutes</w:t>
      </w:r>
    </w:p>
    <w:p>
      <w:pPr>
        <w:pStyle w:val="BodyText"/>
      </w:pPr>
      <w:r>
        <w:rPr>
          <w:b/>
          <w:bCs/>
        </w:rPr>
        <w:t xml:space="preserve">Bullet Points:</w:t>
      </w:r>
    </w:p>
    <w:p>
      <w:pPr>
        <w:pStyle w:val="Compact"/>
        <w:numPr>
          <w:ilvl w:val="0"/>
          <w:numId w:val="1029"/>
        </w:numPr>
      </w:pPr>
      <w:r>
        <w:t xml:space="preserve">Pathway 1: Custom Bidding APIs (highest precision, complex integration)</w:t>
      </w:r>
    </w:p>
    <w:p>
      <w:pPr>
        <w:pStyle w:val="Compact"/>
        <w:numPr>
          <w:ilvl w:val="0"/>
          <w:numId w:val="1029"/>
        </w:numPr>
      </w:pPr>
      <w:r>
        <w:t xml:space="preserve">Pathway 2: CDP-to-DSP Segmentation (medium precision, faster deployment)</w:t>
      </w:r>
    </w:p>
    <w:p>
      <w:pPr>
        <w:pStyle w:val="Compact"/>
        <w:numPr>
          <w:ilvl w:val="0"/>
          <w:numId w:val="1029"/>
        </w:numPr>
      </w:pPr>
      <w:r>
        <w:t xml:space="preserve">Pathway 3: Data Clean Rooms (scalable, privacy-compliant)</w:t>
      </w:r>
    </w:p>
    <w:p>
      <w:pPr>
        <w:pStyle w:val="Compact"/>
        <w:numPr>
          <w:ilvl w:val="0"/>
          <w:numId w:val="1029"/>
        </w:numPr>
      </w:pPr>
      <w:r>
        <w:t xml:space="preserve">Each pathway addresses different organizational readiness levels</w:t>
      </w:r>
    </w:p>
    <w:p>
      <w:pPr>
        <w:pStyle w:val="FirstParagraph"/>
      </w:pPr>
      <w:r>
        <w:rPr>
          <w:b/>
          <w:bCs/>
        </w:rPr>
        <w:t xml:space="preserve">Talk Track</w:t>
      </w:r>
      <w:r>
        <w:t xml:space="preserve">:</w:t>
      </w:r>
      <w:r>
        <w:t xml:space="preserve"> </w:t>
      </w:r>
      <w:r>
        <w:t xml:space="preserve">“There are three proven approaches to bridge this gap. Custom Bidding APIs offer the highest precision but require significant technical integration. CDP-to-DSP Segmentation provides a faster path with good results. Data Clean Rooms offer scalability with privacy compliance. Your choice depends on technical readiness and timeline requirements.”</w:t>
      </w:r>
    </w:p>
    <w:bookmarkEnd w:id="30"/>
    <w:bookmarkStart w:id="34" w:name="Xebd8061da44aaf868d617dfab58ab93a342f8cc"/>
    <w:p>
      <w:pPr>
        <w:pStyle w:val="Heading2"/>
      </w:pPr>
      <w:r>
        <w:t xml:space="preserve">SLIDE 12:</w:t>
      </w:r>
      <w:r>
        <w:t xml:space="preserve"> </w:t>
      </w:r>
      <w:r>
        <w:t xml:space="preserve">“Case Study Deep Dive: Three Implementation Approaches”</w:t>
      </w:r>
    </w:p>
    <w:p>
      <w:pPr>
        <w:pStyle w:val="FirstParagraph"/>
      </w:pPr>
      <w:r>
        <w:rPr>
          <w:b/>
          <w:bCs/>
        </w:rPr>
        <w:t xml:space="preserve">Visual</w:t>
      </w:r>
      <w:r>
        <w:t xml:space="preserve">: Three case study comparison - DoorDash, Bank of America, The Trade Desk</w:t>
      </w:r>
    </w:p>
    <w:p>
      <w:pPr>
        <w:pStyle w:val="BodyText"/>
      </w:pPr>
      <w:r>
        <w:rPr>
          <w:b/>
          <w:bCs/>
        </w:rPr>
        <w:t xml:space="preserve">Duration</w:t>
      </w:r>
      <w:r>
        <w:t xml:space="preserve">: 3 minutes</w:t>
      </w:r>
    </w:p>
    <w:bookmarkStart w:id="31" w:name="doordash-custom-bidding"/>
    <w:p>
      <w:pPr>
        <w:pStyle w:val="Heading3"/>
      </w:pPr>
      <w:r>
        <w:t xml:space="preserve">DoorDash (Custom Bidding)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Challenge</w:t>
            </w:r>
          </w:p>
        </w:tc>
        <w:tc>
          <w:tcPr/>
          <w:p>
            <w:pPr>
              <w:pStyle w:val="Compact"/>
            </w:pPr>
            <w:r>
              <w:t xml:space="preserve">Promotion response varies by customer segment</w:t>
            </w:r>
          </w:p>
        </w:tc>
      </w:tr>
      <w:tr>
        <w:tc>
          <w:tcPr/>
          <w:p>
            <w:pPr>
              <w:pStyle w:val="Compact"/>
            </w:pPr>
            <w:r>
              <w:t xml:space="preserve">Solution</w:t>
            </w:r>
          </w:p>
        </w:tc>
        <w:tc>
          <w:tcPr/>
          <w:p>
            <w:pPr>
              <w:pStyle w:val="Compact"/>
            </w:pPr>
            <w:r>
              <w:t xml:space="preserve">Double ML to custom bidding with confidence levels</w:t>
            </w:r>
          </w:p>
        </w:tc>
      </w:tr>
      <w:tr>
        <w:tc>
          <w:tcPr/>
          <w:p>
            <w:pPr>
              <w:pStyle w:val="Compact"/>
            </w:pPr>
            <w:r>
              <w:t xml:space="preserve">Result</w:t>
            </w:r>
          </w:p>
        </w:tc>
        <w:tc>
          <w:tcPr/>
          <w:p>
            <w:pPr>
              <w:pStyle w:val="Compact"/>
            </w:pPr>
            <w:r>
              <w:t xml:space="preserve">8.03% Qini coefficient, 6 weeks to production</w:t>
            </w:r>
          </w:p>
        </w:tc>
      </w:tr>
      <w:tr>
        <w:tc>
          <w:tcPr/>
          <w:p>
            <w:pPr>
              <w:pStyle w:val="Compact"/>
            </w:pPr>
            <w:r>
              <w:t xml:space="preserve">Timeline</w:t>
            </w:r>
          </w:p>
        </w:tc>
        <w:tc>
          <w:tcPr/>
          <w:p>
            <w:pPr>
              <w:pStyle w:val="Compact"/>
            </w:pPr>
            <w:r>
              <w:t xml:space="preserve">6 weeks analysis to live campaigns</w:t>
            </w:r>
          </w:p>
        </w:tc>
      </w:tr>
    </w:tbl>
    <w:bookmarkEnd w:id="31"/>
    <w:bookmarkStart w:id="32" w:name="bank-of-america-cdp-segmentation"/>
    <w:p>
      <w:pPr>
        <w:pStyle w:val="Heading3"/>
      </w:pPr>
      <w:r>
        <w:t xml:space="preserve">Bank of America (CDP Segmentation)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Challenge</w:t>
            </w:r>
          </w:p>
        </w:tc>
        <w:tc>
          <w:tcPr/>
          <w:p>
            <w:pPr>
              <w:pStyle w:val="Compact"/>
            </w:pPr>
            <w:r>
              <w:t xml:space="preserve">Premium card budgets targeting Sure Things</w:t>
            </w:r>
          </w:p>
        </w:tc>
      </w:tr>
      <w:tr>
        <w:tc>
          <w:tcPr/>
          <w:p>
            <w:pPr>
              <w:pStyle w:val="Compact"/>
            </w:pPr>
            <w:r>
              <w:t xml:space="preserve">Solution</w:t>
            </w:r>
          </w:p>
        </w:tc>
        <w:tc>
          <w:tcPr/>
          <w:p>
            <w:pPr>
              <w:pStyle w:val="Compact"/>
            </w:pPr>
            <w:r>
              <w:t xml:space="preserve">X-Learner to upload Persuadables to DSP with bid premiums</w:t>
            </w:r>
          </w:p>
        </w:tc>
      </w:tr>
      <w:tr>
        <w:tc>
          <w:tcPr/>
          <w:p>
            <w:pPr>
              <w:pStyle w:val="Compact"/>
            </w:pPr>
            <w:r>
              <w:t xml:space="preserve">Result</w:t>
            </w:r>
          </w:p>
        </w:tc>
        <w:tc>
          <w:tcPr/>
          <w:p>
            <w:pPr>
              <w:pStyle w:val="Compact"/>
            </w:pPr>
            <w:r>
              <w:t xml:space="preserve">28% improvement in incremental conversion rate, $3M+ saved</w:t>
            </w:r>
          </w:p>
        </w:tc>
      </w:tr>
      <w:tr>
        <w:tc>
          <w:tcPr/>
          <w:p>
            <w:pPr>
              <w:pStyle w:val="Compact"/>
            </w:pPr>
            <w:r>
              <w:t xml:space="preserve">Timeline</w:t>
            </w:r>
          </w:p>
        </w:tc>
        <w:tc>
          <w:tcPr/>
          <w:p>
            <w:pPr>
              <w:pStyle w:val="Compact"/>
            </w:pPr>
            <w:r>
              <w:t xml:space="preserve">4-6 weeks implementation</w:t>
            </w:r>
          </w:p>
        </w:tc>
      </w:tr>
    </w:tbl>
    <w:bookmarkEnd w:id="32"/>
    <w:bookmarkStart w:id="33" w:name="the-trade-desk-real-time-inference"/>
    <w:p>
      <w:pPr>
        <w:pStyle w:val="Heading3"/>
      </w:pPr>
      <w:r>
        <w:t xml:space="preserve">The Trade Desk (Real-time Inference)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Detail</w:t>
            </w:r>
          </w:p>
        </w:tc>
      </w:tr>
      <w:tr>
        <w:tc>
          <w:tcPr/>
          <w:p>
            <w:pPr>
              <w:pStyle w:val="Compact"/>
            </w:pPr>
            <w:r>
              <w:t xml:space="preserve">Challenge</w:t>
            </w:r>
          </w:p>
        </w:tc>
        <w:tc>
          <w:tcPr/>
          <w:p>
            <w:pPr>
              <w:pStyle w:val="Compact"/>
            </w:pPr>
            <w:r>
              <w:t xml:space="preserve">Measure causal lift at 600B+ impressions/day scale</w:t>
            </w:r>
          </w:p>
        </w:tc>
      </w:tr>
      <w:tr>
        <w:tc>
          <w:tcPr/>
          <w:p>
            <w:pPr>
              <w:pStyle w:val="Compact"/>
            </w:pPr>
            <w:r>
              <w:t xml:space="preserve">Solution</w:t>
            </w:r>
          </w:p>
        </w:tc>
        <w:tc>
          <w:tcPr/>
          <w:p>
            <w:pPr>
              <w:pStyle w:val="Compact"/>
            </w:pPr>
            <w:r>
              <w:t xml:space="preserve">Real-time causal scoring integrated with bidding engine</w:t>
            </w:r>
          </w:p>
        </w:tc>
      </w:tr>
      <w:tr>
        <w:tc>
          <w:tcPr/>
          <w:p>
            <w:pPr>
              <w:pStyle w:val="Compact"/>
            </w:pPr>
            <w:r>
              <w:t xml:space="preserve">Result</w:t>
            </w:r>
          </w:p>
        </w:tc>
        <w:tc>
          <w:tcPr/>
          <w:p>
            <w:pPr>
              <w:pStyle w:val="Compact"/>
            </w:pPr>
            <w:r>
              <w:t xml:space="preserve">Production deployment at massive scale</w:t>
            </w:r>
          </w:p>
        </w:tc>
      </w:tr>
      <w:tr>
        <w:tc>
          <w:tcPr/>
          <w:p>
            <w:pPr>
              <w:pStyle w:val="Compact"/>
            </w:pPr>
            <w:r>
              <w:t xml:space="preserve">Timeline</w:t>
            </w:r>
          </w:p>
        </w:tc>
        <w:tc>
          <w:tcPr/>
          <w:p>
            <w:pPr>
              <w:pStyle w:val="Compact"/>
            </w:pPr>
            <w:r>
              <w:t xml:space="preserve">6-12 months to production</w:t>
            </w:r>
          </w:p>
        </w:tc>
      </w:tr>
    </w:tbl>
    <w:p>
      <w:pPr>
        <w:pStyle w:val="BodyText"/>
      </w:pPr>
      <w:r>
        <w:rPr>
          <w:b/>
          <w:bCs/>
        </w:rPr>
        <w:t xml:space="preserve">Talk Track</w:t>
      </w:r>
      <w:r>
        <w:t xml:space="preserve">:</w:t>
      </w:r>
      <w:r>
        <w:t xml:space="preserve"> </w:t>
      </w:r>
      <w:r>
        <w:t xml:space="preserve">“Three organizations, three different approaches. DoorDash went deep with custom bidding APIs, achieving the highest precision. Bank of America took a pragmatic approach with CDP segmentation, saving millions quickly. The Trade Desk built real-time causal inference at unprecedented scale. Each path works – the choice depends on your timeline and technical capability.”</w:t>
      </w:r>
    </w:p>
    <w:bookmarkEnd w:id="33"/>
    <w:bookmarkEnd w:id="34"/>
    <w:bookmarkStart w:id="35" w:name="Xc26fbbd1531919bbc3d823ddb3836df1700e0c3"/>
    <w:p>
      <w:pPr>
        <w:pStyle w:val="Heading2"/>
      </w:pPr>
      <w:r>
        <w:t xml:space="preserve">SLIDE 13:</w:t>
      </w:r>
      <w:r>
        <w:t xml:space="preserve"> </w:t>
      </w:r>
      <w:r>
        <w:t xml:space="preserve">“Premium Inventory: Where Persuadables Over-Index”</w:t>
      </w:r>
    </w:p>
    <w:p>
      <w:pPr>
        <w:pStyle w:val="FirstParagraph"/>
      </w:pPr>
      <w:r>
        <w:rPr>
          <w:b/>
          <w:bCs/>
        </w:rPr>
        <w:t xml:space="preserve">Visual</w:t>
      </w:r>
      <w:r>
        <w:t xml:space="preserve">: Inventory performance heatmap across different placements</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30"/>
        </w:numPr>
      </w:pPr>
      <w:r>
        <w:t xml:space="preserve">Connected TV: 90-98% completion rates, household-level targeting</w:t>
      </w:r>
    </w:p>
    <w:p>
      <w:pPr>
        <w:pStyle w:val="Compact"/>
        <w:numPr>
          <w:ilvl w:val="0"/>
          <w:numId w:val="1030"/>
        </w:numPr>
      </w:pPr>
      <w:r>
        <w:t xml:space="preserve">Premium publisher direct deals: 40% better performance than open exchange</w:t>
      </w:r>
    </w:p>
    <w:p>
      <w:pPr>
        <w:pStyle w:val="Compact"/>
        <w:numPr>
          <w:ilvl w:val="0"/>
          <w:numId w:val="1030"/>
        </w:numPr>
      </w:pPr>
      <w:r>
        <w:t xml:space="preserve">Contextual alignment: Financial content shows 60% higher conversion rates</w:t>
      </w:r>
    </w:p>
    <w:p>
      <w:pPr>
        <w:pStyle w:val="Compact"/>
        <w:numPr>
          <w:ilvl w:val="0"/>
          <w:numId w:val="1030"/>
        </w:numPr>
      </w:pPr>
      <w:r>
        <w:t xml:space="preserve">Native advertising: 3x higher engagement for premium prospects</w:t>
      </w:r>
    </w:p>
    <w:p>
      <w:pPr>
        <w:pStyle w:val="FirstParagraph"/>
      </w:pPr>
      <w:r>
        <w:rPr>
          <w:b/>
          <w:bCs/>
        </w:rPr>
        <w:t xml:space="preserve">Research Finding</w:t>
      </w:r>
      <w:r>
        <w:t xml:space="preserve">: CTV campaigns generate 23% higher ROI than linear TV; 56% of marketers increasing CTV/OTT budgets in 2025</w:t>
      </w:r>
    </w:p>
    <w:p>
      <w:pPr>
        <w:pStyle w:val="BodyText"/>
      </w:pPr>
      <w:r>
        <w:rPr>
          <w:b/>
          <w:bCs/>
        </w:rPr>
        <w:t xml:space="preserve">Talk Track</w:t>
      </w:r>
      <w:r>
        <w:t xml:space="preserve">:</w:t>
      </w:r>
      <w:r>
        <w:t xml:space="preserve"> </w:t>
      </w:r>
      <w:r>
        <w:t xml:space="preserve">“Not all inventory is created equal for reaching Persuadables. Connected TV delivers 90-98% completion rates with household-level precision. Premium publisher direct deals perform 40% better than open exchange inventory. The key is aligning your premium methodology with premium environments where Persuadables over-index.”</w:t>
      </w:r>
    </w:p>
    <w:bookmarkEnd w:id="35"/>
    <w:bookmarkStart w:id="36" w:name="X0f1f7c12a43cd819ee6fb02f35fd6d8363c43d9"/>
    <w:p>
      <w:pPr>
        <w:pStyle w:val="Heading2"/>
      </w:pPr>
      <w:r>
        <w:t xml:space="preserve">SLIDE 14:</w:t>
      </w:r>
      <w:r>
        <w:t xml:space="preserve"> </w:t>
      </w:r>
      <w:r>
        <w:t xml:space="preserve">“Real-Time Optimization: From Batch to Always-On”</w:t>
      </w:r>
    </w:p>
    <w:p>
      <w:pPr>
        <w:pStyle w:val="FirstParagraph"/>
      </w:pPr>
      <w:r>
        <w:rPr>
          <w:b/>
          <w:bCs/>
        </w:rPr>
        <w:t xml:space="preserve">Visual</w:t>
      </w:r>
      <w:r>
        <w:t xml:space="preserve">: Traditional batch processing vs. real-time optimization cycle</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31"/>
        </w:numPr>
      </w:pPr>
      <w:r>
        <w:t xml:space="preserve">Shift from monthly campaigns to continuous optimization</w:t>
      </w:r>
    </w:p>
    <w:p>
      <w:pPr>
        <w:pStyle w:val="Compact"/>
        <w:numPr>
          <w:ilvl w:val="0"/>
          <w:numId w:val="1031"/>
        </w:numPr>
      </w:pPr>
      <w:r>
        <w:t xml:space="preserve">Real-time bid adjustments based on performance signals</w:t>
      </w:r>
    </w:p>
    <w:p>
      <w:pPr>
        <w:pStyle w:val="Compact"/>
        <w:numPr>
          <w:ilvl w:val="0"/>
          <w:numId w:val="1031"/>
        </w:numPr>
      </w:pPr>
      <w:r>
        <w:t xml:space="preserve">Dynamic creative optimization using causal insights</w:t>
      </w:r>
    </w:p>
    <w:p>
      <w:pPr>
        <w:pStyle w:val="Compact"/>
        <w:numPr>
          <w:ilvl w:val="0"/>
          <w:numId w:val="1031"/>
        </w:numPr>
      </w:pPr>
      <w:r>
        <w:t xml:space="preserve">JPMorgan: 35% efficiency improvement with real-time adjustments</w:t>
      </w:r>
    </w:p>
    <w:p>
      <w:pPr>
        <w:pStyle w:val="FirstParagraph"/>
      </w:pPr>
      <w:r>
        <w:rPr>
          <w:b/>
          <w:bCs/>
        </w:rPr>
        <w:t xml:space="preserve">Talk Track</w:t>
      </w:r>
      <w:r>
        <w:t xml:space="preserve">:</w:t>
      </w:r>
      <w:r>
        <w:t xml:space="preserve"> </w:t>
      </w:r>
      <w:r>
        <w:t xml:space="preserve">“Traditional campaigns run in batches – monthly optimizations based on retrospective analysis. Premium targeting requires always-on optimization with real-time adjustments. JPMorgan achieved 35% efficiency improvements by shifting to continuous optimization cycles that adjust bidding and creative based on live performance signals.”</w:t>
      </w:r>
    </w:p>
    <w:bookmarkEnd w:id="36"/>
    <w:bookmarkStart w:id="37" w:name="X0c7b9b50f7b52df1ab92ef1a34c50adc6a3bf0b"/>
    <w:p>
      <w:pPr>
        <w:pStyle w:val="Heading2"/>
      </w:pPr>
      <w:r>
        <w:t xml:space="preserve">SLIDE 15:</w:t>
      </w:r>
      <w:r>
        <w:t xml:space="preserve"> </w:t>
      </w:r>
      <w:r>
        <w:t xml:space="preserve">“Cross-Device Attribution: Following the Premium Journey”</w:t>
      </w:r>
    </w:p>
    <w:p>
      <w:pPr>
        <w:pStyle w:val="FirstParagraph"/>
      </w:pPr>
      <w:r>
        <w:rPr>
          <w:b/>
          <w:bCs/>
        </w:rPr>
        <w:t xml:space="preserve">Visual</w:t>
      </w:r>
      <w:r>
        <w:t xml:space="preserve">: Customer journey map across devices with attribution points</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32"/>
        </w:numPr>
      </w:pPr>
      <w:r>
        <w:t xml:space="preserve">Premium prospects research across 4-5 devices before converting</w:t>
      </w:r>
    </w:p>
    <w:p>
      <w:pPr>
        <w:pStyle w:val="Compact"/>
        <w:numPr>
          <w:ilvl w:val="0"/>
          <w:numId w:val="1032"/>
        </w:numPr>
      </w:pPr>
      <w:r>
        <w:t xml:space="preserve">Deterministic linking required for accurate attribution</w:t>
      </w:r>
    </w:p>
    <w:p>
      <w:pPr>
        <w:pStyle w:val="Compact"/>
        <w:numPr>
          <w:ilvl w:val="0"/>
          <w:numId w:val="1032"/>
        </w:numPr>
      </w:pPr>
      <w:r>
        <w:t xml:space="preserve">First-party data crucial for cross-device identity resolution</w:t>
      </w:r>
    </w:p>
    <w:p>
      <w:pPr>
        <w:pStyle w:val="Compact"/>
        <w:numPr>
          <w:ilvl w:val="0"/>
          <w:numId w:val="1032"/>
        </w:numPr>
      </w:pPr>
      <w:r>
        <w:t xml:space="preserve">Mastercard: 45% of premium conversions involved cross-device journey</w:t>
      </w:r>
    </w:p>
    <w:p>
      <w:pPr>
        <w:pStyle w:val="FirstParagraph"/>
      </w:pPr>
      <w:r>
        <w:rPr>
          <w:b/>
          <w:bCs/>
        </w:rPr>
        <w:t xml:space="preserve">Talk Track</w:t>
      </w:r>
      <w:r>
        <w:t xml:space="preserve">:</w:t>
      </w:r>
      <w:r>
        <w:t xml:space="preserve"> </w:t>
      </w:r>
      <w:r>
        <w:t xml:space="preserve">“Premium prospects don’t convert in a single session on a single device. They research across 4-5 touchpoints before deciding. Accurate attribution requires deterministic linking across devices using your first-party data. Mastercard found 45% of premium conversions involved cross-device journeys, making unified attribution essential for measuring true impact.”</w:t>
      </w:r>
    </w:p>
    <w:bookmarkEnd w:id="37"/>
    <w:bookmarkStart w:id="38" w:name="X126aada600ec9aab36bcb458022c53f6f859ff1"/>
    <w:p>
      <w:pPr>
        <w:pStyle w:val="Heading2"/>
      </w:pPr>
      <w:r>
        <w:t xml:space="preserve">SLIDE 16:</w:t>
      </w:r>
      <w:r>
        <w:t xml:space="preserve"> </w:t>
      </w:r>
      <w:r>
        <w:t xml:space="preserve">“Measurement Revolution: From Attribution to Incrementality”</w:t>
      </w:r>
    </w:p>
    <w:p>
      <w:pPr>
        <w:pStyle w:val="FirstParagraph"/>
      </w:pPr>
      <w:r>
        <w:rPr>
          <w:b/>
          <w:bCs/>
        </w:rPr>
        <w:t xml:space="preserve">Visual</w:t>
      </w:r>
      <w:r>
        <w:t xml:space="preserve">: Traditional attribution vs. incrementality measurement comparison</w:t>
      </w:r>
    </w:p>
    <w:p>
      <w:pPr>
        <w:pStyle w:val="BodyText"/>
      </w:pPr>
      <w:r>
        <w:rPr>
          <w:b/>
          <w:bCs/>
        </w:rPr>
        <w:t xml:space="preserve">Duration</w:t>
      </w:r>
      <w:r>
        <w:t xml:space="preserve">: 2.5 minutes</w:t>
      </w:r>
    </w:p>
    <w:p>
      <w:pPr>
        <w:pStyle w:val="BodyText"/>
      </w:pPr>
      <w:r>
        <w:rPr>
          <w:b/>
          <w:bCs/>
        </w:rPr>
        <w:t xml:space="preserve">Bullet Points:</w:t>
      </w:r>
    </w:p>
    <w:p>
      <w:pPr>
        <w:pStyle w:val="Compact"/>
        <w:numPr>
          <w:ilvl w:val="0"/>
          <w:numId w:val="1033"/>
        </w:numPr>
      </w:pPr>
      <w:r>
        <w:t xml:space="preserve">Traditional: Last-click attribution (correlation)</w:t>
      </w:r>
    </w:p>
    <w:p>
      <w:pPr>
        <w:pStyle w:val="Compact"/>
        <w:numPr>
          <w:ilvl w:val="0"/>
          <w:numId w:val="1033"/>
        </w:numPr>
      </w:pPr>
      <w:r>
        <w:t xml:space="preserve">Premium: Incrementality measurement (causation)</w:t>
      </w:r>
    </w:p>
    <w:p>
      <w:pPr>
        <w:pStyle w:val="Compact"/>
        <w:numPr>
          <w:ilvl w:val="0"/>
          <w:numId w:val="1033"/>
        </w:numPr>
      </w:pPr>
      <w:r>
        <w:t xml:space="preserve">Holdout groups essential for measuring true lift</w:t>
      </w:r>
    </w:p>
    <w:p>
      <w:pPr>
        <w:pStyle w:val="Compact"/>
        <w:numPr>
          <w:ilvl w:val="0"/>
          <w:numId w:val="1033"/>
        </w:numPr>
      </w:pPr>
      <w:r>
        <w:t xml:space="preserve">Geo-holdout testing for comprehensive validation</w:t>
      </w:r>
    </w:p>
    <w:p>
      <w:pPr>
        <w:pStyle w:val="FirstParagraph"/>
      </w:pPr>
      <w:r>
        <w:rPr>
          <w:b/>
          <w:bCs/>
        </w:rPr>
        <w:t xml:space="preserve">Key Metric</w:t>
      </w:r>
      <w:r>
        <w:t xml:space="preserve">: Customer Science Insurer Case Study: 90-day pilot showed churn down 2.3 pts, discount down 14%</w:t>
      </w:r>
    </w:p>
    <w:p>
      <w:pPr>
        <w:pStyle w:val="BodyText"/>
      </w:pPr>
      <w:r>
        <w:rPr>
          <w:b/>
          <w:bCs/>
        </w:rPr>
        <w:t xml:space="preserve">Talk Track</w:t>
      </w:r>
      <w:r>
        <w:t xml:space="preserve">:</w:t>
      </w:r>
      <w:r>
        <w:t xml:space="preserve"> </w:t>
      </w:r>
      <w:r>
        <w:t xml:space="preserve">“The measurement revolution mirrors the targeting revolution – from correlation to causation. Traditional attribution tells you what happened, but not whether your marketing caused it. Incrementality measurement uses holdout groups to prove causal impact. One insurer’s 90-day pilot showed churn down 2.3 percentage points and acquisition costs down 14% with proper incrementality measurement.”</w:t>
      </w:r>
    </w:p>
    <w:bookmarkEnd w:id="38"/>
    <w:bookmarkStart w:id="39" w:name="X09146e32d264774050a4e23a7c3229e0cb6afff"/>
    <w:p>
      <w:pPr>
        <w:pStyle w:val="Heading2"/>
      </w:pPr>
      <w:r>
        <w:t xml:space="preserve">SLIDE 17:</w:t>
      </w:r>
      <w:r>
        <w:t xml:space="preserve"> </w:t>
      </w:r>
      <w:r>
        <w:t xml:space="preserve">“The Retention Multiplier: Acquisition Quality Drives Lifetime Value”</w:t>
      </w:r>
    </w:p>
    <w:p>
      <w:pPr>
        <w:pStyle w:val="FirstParagraph"/>
      </w:pPr>
      <w:r>
        <w:rPr>
          <w:b/>
          <w:bCs/>
        </w:rPr>
        <w:t xml:space="preserve">Visual</w:t>
      </w:r>
      <w:r>
        <w:t xml:space="preserve">: Acquisition quality vs. retention performance correlation chart</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34"/>
        </w:numPr>
      </w:pPr>
      <w:r>
        <w:t xml:space="preserve">Persuadables show 25-45% higher lifetime value than Sure Things</w:t>
      </w:r>
    </w:p>
    <w:p>
      <w:pPr>
        <w:pStyle w:val="Compact"/>
        <w:numPr>
          <w:ilvl w:val="0"/>
          <w:numId w:val="1034"/>
        </w:numPr>
      </w:pPr>
      <w:r>
        <w:t xml:space="preserve">Quality acquisition reduces churn by 2.3 percentage points</w:t>
      </w:r>
    </w:p>
    <w:p>
      <w:pPr>
        <w:pStyle w:val="Compact"/>
        <w:numPr>
          <w:ilvl w:val="0"/>
          <w:numId w:val="1034"/>
        </w:numPr>
      </w:pPr>
      <w:r>
        <w:t xml:space="preserve">Premium targeting creates compounding retention effects</w:t>
      </w:r>
    </w:p>
    <w:p>
      <w:pPr>
        <w:pStyle w:val="Compact"/>
        <w:numPr>
          <w:ilvl w:val="0"/>
          <w:numId w:val="1034"/>
        </w:numPr>
      </w:pPr>
      <w:r>
        <w:t xml:space="preserve">Focus Optimal: Sure Things had no incremental profit; Persuadables had 30% higher net LTV</w:t>
      </w:r>
    </w:p>
    <w:p>
      <w:pPr>
        <w:pStyle w:val="FirstParagraph"/>
      </w:pPr>
      <w:r>
        <w:rPr>
          <w:b/>
          <w:bCs/>
        </w:rPr>
        <w:t xml:space="preserve">Talk Track</w:t>
      </w:r>
      <w:r>
        <w:t xml:space="preserve">:</w:t>
      </w:r>
      <w:r>
        <w:t xml:space="preserve"> </w:t>
      </w:r>
      <w:r>
        <w:t xml:space="preserve">“Here’s where premium targeting pays long-term dividends: customers acquired through causal targeting show 25-45% higher lifetime value. This happens because Persuadables who convert because of your marketing develop stronger brand affinity. Focus Optimal found Sure Things contributed no incremental profit, while Persuadables delivered 30% higher net lifetime value.”</w:t>
      </w:r>
    </w:p>
    <w:bookmarkEnd w:id="39"/>
    <w:bookmarkStart w:id="40" w:name="X976aba2330dfe65da6ad5cfa710991b1f143ce9"/>
    <w:p>
      <w:pPr>
        <w:pStyle w:val="Heading2"/>
      </w:pPr>
      <w:r>
        <w:t xml:space="preserve">SLIDE 18:</w:t>
      </w:r>
      <w:r>
        <w:t xml:space="preserve"> </w:t>
      </w:r>
      <w:r>
        <w:t xml:space="preserve">“The Compounding Flywheel: How Premium Targeting Accelerates Growth”</w:t>
      </w:r>
    </w:p>
    <w:p>
      <w:pPr>
        <w:pStyle w:val="FirstParagraph"/>
      </w:pPr>
      <w:r>
        <w:rPr>
          <w:b/>
          <w:bCs/>
        </w:rPr>
        <w:t xml:space="preserve">Visual</w:t>
      </w:r>
      <w:r>
        <w:t xml:space="preserve">: Flywheel diagram showing how each element reinforces the others</w:t>
      </w:r>
    </w:p>
    <w:p>
      <w:pPr>
        <w:pStyle w:val="BodyText"/>
      </w:pPr>
      <w:r>
        <w:rPr>
          <w:b/>
          <w:bCs/>
        </w:rPr>
        <w:t xml:space="preserve">Duration</w:t>
      </w:r>
      <w:r>
        <w:t xml:space="preserve">: 2.5 minutes</w:t>
      </w:r>
    </w:p>
    <w:p>
      <w:pPr>
        <w:pStyle w:val="BodyText"/>
      </w:pPr>
      <w:r>
        <w:rPr>
          <w:b/>
          <w:bCs/>
        </w:rPr>
        <w:t xml:space="preserve">Bullet Points:</w:t>
      </w:r>
    </w:p>
    <w:p>
      <w:pPr>
        <w:pStyle w:val="Compact"/>
        <w:numPr>
          <w:ilvl w:val="0"/>
          <w:numId w:val="1035"/>
        </w:numPr>
      </w:pPr>
      <w:r>
        <w:t xml:space="preserve">Precision targeting –&gt; Quality acquisition –&gt; Superior retention –&gt; Enhanced data assets –&gt; Better models –&gt; More precision</w:t>
      </w:r>
    </w:p>
    <w:p>
      <w:pPr>
        <w:pStyle w:val="Compact"/>
        <w:numPr>
          <w:ilvl w:val="0"/>
          <w:numId w:val="1035"/>
        </w:numPr>
      </w:pPr>
      <w:r>
        <w:t xml:space="preserve">Each cycle improves targeting accuracy and reduces costs</w:t>
      </w:r>
    </w:p>
    <w:p>
      <w:pPr>
        <w:pStyle w:val="Compact"/>
        <w:numPr>
          <w:ilvl w:val="0"/>
          <w:numId w:val="1035"/>
        </w:numPr>
      </w:pPr>
      <w:r>
        <w:t xml:space="preserve">Network effects amplify as premium customers refer premium prospects</w:t>
      </w:r>
    </w:p>
    <w:p>
      <w:pPr>
        <w:pStyle w:val="Compact"/>
        <w:numPr>
          <w:ilvl w:val="0"/>
          <w:numId w:val="1035"/>
        </w:numPr>
      </w:pPr>
      <w:r>
        <w:t xml:space="preserve">3-year projection: $300M+ incremental value from flywheel effects</w:t>
      </w:r>
    </w:p>
    <w:p>
      <w:pPr>
        <w:pStyle w:val="FirstParagraph"/>
      </w:pPr>
      <w:r>
        <w:rPr>
          <w:b/>
          <w:bCs/>
        </w:rPr>
        <w:t xml:space="preserve">Talk Track</w:t>
      </w:r>
      <w:r>
        <w:t xml:space="preserve">:</w:t>
      </w:r>
      <w:r>
        <w:t xml:space="preserve"> </w:t>
      </w:r>
      <w:r>
        <w:t xml:space="preserve">“Premium targeting creates a compounding flywheel. Precision targeting leads to quality acquisition, which drives superior retention, which enhances your data assets, which enables better models, which increase precision. Each cycle makes the next one more effective. Our 3-year projections show $300M+ in incremental value from these compounding effects alone.”</w:t>
      </w:r>
    </w:p>
    <w:bookmarkEnd w:id="40"/>
    <w:bookmarkStart w:id="41" w:name="X248a6b11667fba727993671524f3454e7ca4291"/>
    <w:p>
      <w:pPr>
        <w:pStyle w:val="Heading2"/>
      </w:pPr>
      <w:r>
        <w:t xml:space="preserve">SLIDE 19:</w:t>
      </w:r>
      <w:r>
        <w:t xml:space="preserve"> </w:t>
      </w:r>
      <w:r>
        <w:t xml:space="preserve">“Financial Impact: The 3-Year Premium Targeting Value Creation”</w:t>
      </w:r>
    </w:p>
    <w:p>
      <w:pPr>
        <w:pStyle w:val="FirstParagraph"/>
      </w:pPr>
      <w:r>
        <w:rPr>
          <w:b/>
          <w:bCs/>
        </w:rPr>
        <w:t xml:space="preserve">Visual</w:t>
      </w:r>
      <w:r>
        <w:t xml:space="preserve">: 3-year bar chart showing cumulative value creation with breakdown by source</w:t>
      </w:r>
    </w:p>
    <w:p>
      <w:pPr>
        <w:pStyle w:val="BodyText"/>
      </w:pPr>
      <w:r>
        <w:rPr>
          <w:b/>
          <w:bCs/>
        </w:rPr>
        <w:t xml:space="preserve">Duration</w:t>
      </w:r>
      <w:r>
        <w:t xml:space="preserve">: 2.5 minutes</w:t>
      </w:r>
    </w:p>
    <w:p>
      <w:pPr>
        <w:pStyle w:val="BodyText"/>
      </w:pPr>
      <w:r>
        <w:rPr>
          <w:b/>
          <w:bCs/>
        </w:rPr>
        <w:t xml:space="preserve">Financial Projections: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Year</w:t>
            </w:r>
          </w:p>
        </w:tc>
        <w:tc>
          <w:tcPr/>
          <w:p>
            <w:pPr>
              <w:pStyle w:val="Compact"/>
            </w:pPr>
            <w:r>
              <w:t xml:space="preserve">Value</w:t>
            </w:r>
          </w:p>
        </w:tc>
        <w:tc>
          <w:tcPr/>
          <w:p>
            <w:pPr>
              <w:pStyle w:val="Compact"/>
            </w:pPr>
            <w:r>
              <w:t xml:space="preserve">Components</w:t>
            </w:r>
          </w:p>
        </w:tc>
      </w:tr>
      <w:tr>
        <w:tc>
          <w:tcPr/>
          <w:p>
            <w:pPr>
              <w:pStyle w:val="Compact"/>
            </w:pPr>
            <w:r>
              <w:t xml:space="preserve">Year 1</w:t>
            </w:r>
          </w:p>
        </w:tc>
        <w:tc>
          <w:tcPr/>
          <w:p>
            <w:pPr>
              <w:pStyle w:val="Compact"/>
            </w:pPr>
            <w:r>
              <w:t xml:space="preserve">$50M</w:t>
            </w:r>
          </w:p>
        </w:tc>
        <w:tc>
          <w:tcPr/>
          <w:p>
            <w:pPr>
              <w:pStyle w:val="Compact"/>
            </w:pPr>
            <w:r>
              <w:t xml:space="preserve">Incremental acquisition value</w:t>
            </w:r>
          </w:p>
        </w:tc>
      </w:tr>
      <w:tr>
        <w:tc>
          <w:tcPr/>
          <w:p>
            <w:pPr>
              <w:pStyle w:val="Compact"/>
            </w:pPr>
            <w:r>
              <w:t xml:space="preserve">Year 2</w:t>
            </w:r>
          </w:p>
        </w:tc>
        <w:tc>
          <w:tcPr/>
          <w:p>
            <w:pPr>
              <w:pStyle w:val="Compact"/>
            </w:pPr>
            <w:r>
              <w:t xml:space="preserve">$125M</w:t>
            </w:r>
          </w:p>
        </w:tc>
        <w:tc>
          <w:tcPr/>
          <w:p>
            <w:pPr>
              <w:pStyle w:val="Compact"/>
            </w:pPr>
            <w:r>
              <w:t xml:space="preserve">Acquisition + retention improvements</w:t>
            </w:r>
          </w:p>
        </w:tc>
      </w:tr>
      <w:tr>
        <w:tc>
          <w:tcPr/>
          <w:p>
            <w:pPr>
              <w:pStyle w:val="Compact"/>
            </w:pPr>
            <w:r>
              <w:t xml:space="preserve">Year 3</w:t>
            </w:r>
          </w:p>
        </w:tc>
        <w:tc>
          <w:tcPr/>
          <w:p>
            <w:pPr>
              <w:pStyle w:val="Compact"/>
            </w:pPr>
            <w:r>
              <w:t xml:space="preserve">$300M+</w:t>
            </w:r>
          </w:p>
        </w:tc>
        <w:tc>
          <w:tcPr/>
          <w:p>
            <w:pPr>
              <w:pStyle w:val="Compact"/>
            </w:pPr>
            <w:r>
              <w:t xml:space="preserve">Full flywheel effects</w:t>
            </w:r>
          </w:p>
        </w:tc>
      </w:tr>
      <w:tr>
        <w:tc>
          <w:tcPr/>
          <w:p>
            <w:pPr>
              <w:pStyle w:val="Compact"/>
            </w:pPr>
            <w:r>
              <w:t xml:space="preserve">Total 3-year ROI</w:t>
            </w:r>
          </w:p>
        </w:tc>
        <w:tc>
          <w:tcPr/>
          <w:p>
            <w:pPr>
              <w:pStyle w:val="Compact"/>
            </w:pPr>
            <w:r>
              <w:t xml:space="preserve">180x+</w:t>
            </w:r>
          </w:p>
        </w:tc>
        <w:tc>
          <w:tcPr/>
          <w:p>
            <w:pPr>
              <w:pStyle w:val="Compact"/>
            </w:pPr>
            <w:r>
              <w:t xml:space="preserve">On $1.65M investment</w:t>
            </w:r>
          </w:p>
        </w:tc>
      </w:tr>
    </w:tbl>
    <w:p>
      <w:pPr>
        <w:pStyle w:val="BodyText"/>
      </w:pPr>
      <w:r>
        <w:rPr>
          <w:b/>
          <w:bCs/>
        </w:rPr>
        <w:t xml:space="preserve">Talk Track</w:t>
      </w:r>
      <w:r>
        <w:t xml:space="preserve">:</w:t>
      </w:r>
      <w:r>
        <w:t xml:space="preserve"> </w:t>
      </w:r>
      <w:r>
        <w:t xml:space="preserve">“The financial impact compounds over three years. Year one delivers $50M in incremental acquisition value from better targeting precision. Year two adds retention improvements for $125M total. Year three captures full flywheel effects for $300M+ in value. Total 3-year ROI exceeds 180x on the $1.65M total investment across all three phases.”</w:t>
      </w:r>
    </w:p>
    <w:bookmarkEnd w:id="41"/>
    <w:bookmarkStart w:id="42" w:name="X5f83657cbdac871178a5ce815440c58f1992222"/>
    <w:p>
      <w:pPr>
        <w:pStyle w:val="Heading2"/>
      </w:pPr>
      <w:r>
        <w:t xml:space="preserve">SLIDE 20:</w:t>
      </w:r>
      <w:r>
        <w:t xml:space="preserve"> </w:t>
      </w:r>
      <w:r>
        <w:t xml:space="preserve">“Competitive Advantage Window: First-Mover Benefits”</w:t>
      </w:r>
    </w:p>
    <w:p>
      <w:pPr>
        <w:pStyle w:val="FirstParagraph"/>
      </w:pPr>
      <w:r>
        <w:rPr>
          <w:b/>
          <w:bCs/>
        </w:rPr>
        <w:t xml:space="preserve">Visual</w:t>
      </w:r>
      <w:r>
        <w:t xml:space="preserve">: Timeline showing competitive adoption curve with advantage decay</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36"/>
        </w:numPr>
      </w:pPr>
      <w:r>
        <w:t xml:space="preserve">12-18 month competitive advantage window for early adopters</w:t>
      </w:r>
    </w:p>
    <w:p>
      <w:pPr>
        <w:pStyle w:val="Compact"/>
        <w:numPr>
          <w:ilvl w:val="0"/>
          <w:numId w:val="1036"/>
        </w:numPr>
      </w:pPr>
      <w:r>
        <w:t xml:space="preserve">JPMorgan, Bank of America, Barclays already implementing</w:t>
      </w:r>
    </w:p>
    <w:p>
      <w:pPr>
        <w:pStyle w:val="Compact"/>
        <w:numPr>
          <w:ilvl w:val="0"/>
          <w:numId w:val="1036"/>
        </w:numPr>
      </w:pPr>
      <w:r>
        <w:t xml:space="preserve">Market-level advantage: better ROI enables more aggressive acquisition</w:t>
      </w:r>
    </w:p>
    <w:p>
      <w:pPr>
        <w:pStyle w:val="Compact"/>
        <w:numPr>
          <w:ilvl w:val="0"/>
          <w:numId w:val="1036"/>
        </w:numPr>
      </w:pPr>
      <w:r>
        <w:t xml:space="preserve">Late adopters face 12+ month catch-up period</w:t>
      </w:r>
    </w:p>
    <w:p>
      <w:pPr>
        <w:pStyle w:val="FirstParagraph"/>
      </w:pPr>
      <w:r>
        <w:rPr>
          <w:b/>
          <w:bCs/>
        </w:rPr>
        <w:t xml:space="preserve">Talk Track</w:t>
      </w:r>
      <w:r>
        <w:t xml:space="preserve">:</w:t>
      </w:r>
      <w:r>
        <w:t xml:space="preserve"> </w:t>
      </w:r>
      <w:r>
        <w:t xml:space="preserve">“The competitive advantage window is real but limited. Early adopters have 12-18 months before this becomes table stakes. JPMorgan, Bank of America, and Barclays are already implementing these approaches. The advantage compounds because better ROI enables more aggressive acquisition strategies, making late entry increasingly difficult.”</w:t>
      </w:r>
    </w:p>
    <w:bookmarkEnd w:id="42"/>
    <w:bookmarkStart w:id="43" w:name="Xe419c70f11f4371738c841698a1c143af477b17"/>
    <w:p>
      <w:pPr>
        <w:pStyle w:val="Heading2"/>
      </w:pPr>
      <w:r>
        <w:t xml:space="preserve">SLIDE 21:</w:t>
      </w:r>
      <w:r>
        <w:t xml:space="preserve"> </w:t>
      </w:r>
      <w:r>
        <w:t xml:space="preserve">“Beyond Financial Services: Cross-Industry Validation”</w:t>
      </w:r>
    </w:p>
    <w:p>
      <w:pPr>
        <w:pStyle w:val="FirstParagraph"/>
      </w:pPr>
      <w:r>
        <w:rPr>
          <w:b/>
          <w:bCs/>
        </w:rPr>
        <w:t xml:space="preserve">Visual</w:t>
      </w:r>
      <w:r>
        <w:t xml:space="preserve">: Industry adoption heatmap showing uplift modeling penetration</w:t>
      </w:r>
    </w:p>
    <w:p>
      <w:pPr>
        <w:pStyle w:val="BodyText"/>
      </w:pPr>
      <w:r>
        <w:rPr>
          <w:b/>
          <w:bCs/>
        </w:rPr>
        <w:t xml:space="preserve">Duration</w:t>
      </w:r>
      <w:r>
        <w:t xml:space="preserve">: 2 minutes</w:t>
      </w:r>
    </w:p>
    <w:p>
      <w:pPr>
        <w:pStyle w:val="BodyText"/>
      </w:pPr>
      <w:r>
        <w:rPr>
          <w:b/>
          <w:bCs/>
        </w:rPr>
        <w:t xml:space="preserve">Bullet Points:</w:t>
      </w:r>
    </w:p>
    <w:p>
      <w:pPr>
        <w:pStyle w:val="Compact"/>
        <w:numPr>
          <w:ilvl w:val="0"/>
          <w:numId w:val="1037"/>
        </w:numPr>
      </w:pPr>
      <w:r>
        <w:t xml:space="preserve">Retail: Amazon, Walmart using uplift models for promotion optimization</w:t>
      </w:r>
    </w:p>
    <w:p>
      <w:pPr>
        <w:pStyle w:val="Compact"/>
        <w:numPr>
          <w:ilvl w:val="0"/>
          <w:numId w:val="1037"/>
        </w:numPr>
      </w:pPr>
      <w:r>
        <w:t xml:space="preserve">Technology: Google, Facebook employing causal inference for ad products</w:t>
      </w:r>
    </w:p>
    <w:p>
      <w:pPr>
        <w:pStyle w:val="Compact"/>
        <w:numPr>
          <w:ilvl w:val="0"/>
          <w:numId w:val="1037"/>
        </w:numPr>
      </w:pPr>
      <w:r>
        <w:t xml:space="preserve">Healthcare: Anthem using uplift modeling for member engagement</w:t>
      </w:r>
    </w:p>
    <w:p>
      <w:pPr>
        <w:pStyle w:val="Compact"/>
        <w:numPr>
          <w:ilvl w:val="0"/>
          <w:numId w:val="1037"/>
        </w:numPr>
      </w:pPr>
      <w:r>
        <w:t xml:space="preserve">Financial Services: Still early adopter phase with massive opportunity</w:t>
      </w:r>
    </w:p>
    <w:p>
      <w:pPr>
        <w:pStyle w:val="FirstParagraph"/>
      </w:pPr>
      <w:r>
        <w:rPr>
          <w:b/>
          <w:bCs/>
        </w:rPr>
        <w:t xml:space="preserve">Talk Track</w:t>
      </w:r>
      <w:r>
        <w:t xml:space="preserve">:</w:t>
      </w:r>
      <w:r>
        <w:t xml:space="preserve"> </w:t>
      </w:r>
      <w:r>
        <w:t xml:space="preserve">“This isn’t theoretical – other industries have already proven these approaches. Amazon and Walmart use uplift models for promotion optimization. Google and Facebook employ causal inference in their ad products. Healthcare companies like Anthem use uplift modeling for member engagement. Financial services is still in the early adopter phase, which represents massive opportunity for first movers.”</w:t>
      </w:r>
    </w:p>
    <w:bookmarkEnd w:id="43"/>
    <w:bookmarkStart w:id="45" w:name="X03f25ff5b79ee1b443395e52d3feadb409df232"/>
    <w:p>
      <w:pPr>
        <w:pStyle w:val="Heading2"/>
      </w:pPr>
      <w:r>
        <w:t xml:space="preserve">SLIDE 22:</w:t>
      </w:r>
      <w:r>
        <w:t xml:space="preserve"> </w:t>
      </w:r>
      <w:r>
        <w:t xml:space="preserve">“Your 90-Day Path to Premium Targeting Success”</w:t>
      </w:r>
    </w:p>
    <w:p>
      <w:pPr>
        <w:pStyle w:val="FirstParagraph"/>
      </w:pPr>
      <w:r>
        <w:rPr>
          <w:b/>
          <w:bCs/>
        </w:rPr>
        <w:t xml:space="preserve">Visual</w:t>
      </w:r>
      <w:r>
        <w:t xml:space="preserve">: Three-phase roadmap with timelines, investments, and expected returns</w:t>
      </w:r>
    </w:p>
    <w:p>
      <w:pPr>
        <w:pStyle w:val="BodyText"/>
      </w:pPr>
      <w:r>
        <w:rPr>
          <w:b/>
          <w:bCs/>
        </w:rPr>
        <w:t xml:space="preserve">Duration</w:t>
      </w:r>
      <w:r>
        <w:t xml:space="preserve">: 3 minutes</w:t>
      </w:r>
    </w:p>
    <w:bookmarkStart w:id="44" w:name="phase-breakdown"/>
    <w:p>
      <w:pPr>
        <w:pStyle w:val="Heading3"/>
      </w:pPr>
      <w:r>
        <w:t xml:space="preserve">Phase Breakdown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Phase</w:t>
            </w:r>
          </w:p>
        </w:tc>
        <w:tc>
          <w:tcPr/>
          <w:p>
            <w:pPr>
              <w:pStyle w:val="Compact"/>
            </w:pPr>
            <w:r>
              <w:t xml:space="preserve">Timeline</w:t>
            </w:r>
          </w:p>
        </w:tc>
        <w:tc>
          <w:tcPr/>
          <w:p>
            <w:pPr>
              <w:pStyle w:val="Compact"/>
            </w:pPr>
            <w:r>
              <w:t xml:space="preserve">Investment</w:t>
            </w:r>
          </w:p>
        </w:tc>
        <w:tc>
          <w:tcPr/>
          <w:p>
            <w:pPr>
              <w:pStyle w:val="Compact"/>
            </w:pPr>
            <w:r>
              <w:t xml:space="preserve">Expected Lift</w:t>
            </w:r>
          </w:p>
        </w:tc>
        <w:tc>
          <w:tcPr/>
          <w:p>
            <w:pPr>
              <w:pStyle w:val="Compact"/>
            </w:pPr>
            <w:r>
              <w:t xml:space="preserve">Risk</w:t>
            </w:r>
          </w:p>
        </w:tc>
        <w:tc>
          <w:tcPr/>
          <w:p>
            <w:pPr>
              <w:pStyle w:val="Compact"/>
            </w:pPr>
            <w:r>
              <w:t xml:space="preserve">ROI</w:t>
            </w:r>
          </w:p>
        </w:tc>
      </w:tr>
      <w:tr>
        <w:tc>
          <w:tcPr/>
          <w:p>
            <w:pPr>
              <w:pStyle w:val="Compact"/>
            </w:pPr>
            <w:r>
              <w:t xml:space="preserve">Phase 1: Pre-bid Segmentation</w:t>
            </w:r>
          </w:p>
        </w:tc>
        <w:tc>
          <w:tcPr/>
          <w:p>
            <w:pPr>
              <w:pStyle w:val="Compact"/>
            </w:pPr>
            <w:r>
              <w:t xml:space="preserve">4-6 weeks</w:t>
            </w:r>
          </w:p>
        </w:tc>
        <w:tc>
          <w:tcPr/>
          <w:p>
            <w:pPr>
              <w:pStyle w:val="Compact"/>
            </w:pPr>
            <w:r>
              <w:t xml:space="preserve">$300-400K</w:t>
            </w:r>
          </w:p>
        </w:tc>
        <w:tc>
          <w:tcPr/>
          <w:p>
            <w:pPr>
              <w:pStyle w:val="Compact"/>
            </w:pPr>
            <w:r>
              <w:t xml:space="preserve">+20-30%</w:t>
            </w:r>
          </w:p>
        </w:tc>
        <w:tc>
          <w:tcPr/>
          <w:p>
            <w:pPr>
              <w:pStyle w:val="Compact"/>
            </w:pPr>
            <w:r>
              <w:t xml:space="preserve">LOW</w:t>
            </w:r>
          </w:p>
        </w:tc>
        <w:tc>
          <w:tcPr/>
          <w:p>
            <w:pPr>
              <w:pStyle w:val="Compact"/>
            </w:pPr>
            <w:r>
              <w:t xml:space="preserve">125-167x</w:t>
            </w:r>
          </w:p>
        </w:tc>
      </w:tr>
      <w:tr>
        <w:tc>
          <w:tcPr/>
          <w:p>
            <w:pPr>
              <w:pStyle w:val="Compact"/>
            </w:pPr>
            <w:r>
              <w:t xml:space="preserve">Phase 2: Custom Bidding Integration</w:t>
            </w:r>
          </w:p>
        </w:tc>
        <w:tc>
          <w:tcPr/>
          <w:p>
            <w:pPr>
              <w:pStyle w:val="Compact"/>
            </w:pPr>
            <w:r>
              <w:t xml:space="preserve">8-12 weeks</w:t>
            </w:r>
          </w:p>
        </w:tc>
        <w:tc>
          <w:tcPr/>
          <w:p>
            <w:pPr>
              <w:pStyle w:val="Compact"/>
            </w:pPr>
            <w:r>
              <w:t xml:space="preserve">Additional $500-700K</w:t>
            </w:r>
          </w:p>
        </w:tc>
        <w:tc>
          <w:tcPr/>
          <w:p>
            <w:pPr>
              <w:pStyle w:val="Compact"/>
            </w:pPr>
            <w:r>
              <w:t xml:space="preserve">+40-60%</w:t>
            </w:r>
          </w:p>
        </w:tc>
        <w:tc>
          <w:tcPr/>
          <w:p>
            <w:pPr>
              <w:pStyle w:val="Compact"/>
            </w:pPr>
            <w:r>
              <w:t xml:space="preserve">LOW-MEDIUM</w:t>
            </w:r>
          </w:p>
        </w:tc>
        <w:tc>
          <w:tcPr/>
          <w:p>
            <w:pPr>
              <w:pStyle w:val="Compact"/>
            </w:pPr>
            <w:r>
              <w:t xml:space="preserve">150x+ cumulative</w:t>
            </w:r>
          </w:p>
        </w:tc>
      </w:tr>
      <w:tr>
        <w:tc>
          <w:tcPr/>
          <w:p>
            <w:pPr>
              <w:pStyle w:val="Compact"/>
            </w:pPr>
            <w:r>
              <w:t xml:space="preserve">Phase 3: Real-time Causal Inference</w:t>
            </w:r>
          </w:p>
        </w:tc>
        <w:tc>
          <w:tcPr/>
          <w:p>
            <w:pPr>
              <w:pStyle w:val="Compact"/>
            </w:pPr>
            <w:r>
              <w:t xml:space="preserve">12-18 months</w:t>
            </w:r>
          </w:p>
        </w:tc>
        <w:tc>
          <w:tcPr/>
          <w:p>
            <w:pPr>
              <w:pStyle w:val="Compact"/>
            </w:pPr>
            <w:r>
              <w:t xml:space="preserve">$1M+</w:t>
            </w:r>
          </w:p>
        </w:tc>
        <w:tc>
          <w:tcPr/>
          <w:p>
            <w:pPr>
              <w:pStyle w:val="Compact"/>
            </w:pPr>
            <w:r>
              <w:t xml:space="preserve">+100%+</w:t>
            </w:r>
          </w:p>
        </w:tc>
        <w:tc>
          <w:tcPr/>
          <w:p>
            <w:pPr>
              <w:pStyle w:val="Compact"/>
            </w:pPr>
            <w:r>
              <w:t xml:space="preserve">MEDIUM</w:t>
            </w:r>
          </w:p>
        </w:tc>
        <w:tc>
          <w:tcPr/>
          <w:p>
            <w:pPr>
              <w:pStyle w:val="Compact"/>
            </w:pPr>
            <w:r>
              <w:t xml:space="preserve">180x+ 3-year</w:t>
            </w:r>
          </w:p>
        </w:tc>
      </w:tr>
    </w:tbl>
    <w:p>
      <w:pPr>
        <w:pStyle w:val="BodyText"/>
      </w:pPr>
      <w:r>
        <w:rPr>
          <w:b/>
          <w:bCs/>
        </w:rPr>
        <w:t xml:space="preserve">Talk Track</w:t>
      </w:r>
      <w:r>
        <w:t xml:space="preserve">:</w:t>
      </w:r>
      <w:r>
        <w:t xml:space="preserve"> </w:t>
      </w:r>
      <w:r>
        <w:t xml:space="preserve">“Here’s your concrete 90-day path to implementation. Phase 1 delivers immediate results with low risk using pre-bid segmentation. Phase 2 adds custom bidding for deeper integration. Phase 3 builds real-time causal inference for maximum competitive advantage. Each phase delivers measurable ROI while building toward the ultimate capability.”</w:t>
      </w:r>
    </w:p>
    <w:bookmarkEnd w:id="44"/>
    <w:bookmarkEnd w:id="45"/>
    <w:bookmarkStart w:id="48" w:name="X90bf884df0bd19bb9790985760b9a6525a7390f"/>
    <w:p>
      <w:pPr>
        <w:pStyle w:val="Heading2"/>
      </w:pPr>
      <w:r>
        <w:t xml:space="preserve">SLIDE 23:</w:t>
      </w:r>
      <w:r>
        <w:t xml:space="preserve"> </w:t>
      </w:r>
      <w:r>
        <w:t xml:space="preserve">“Cross-Functional Squad: The Operating Model That Wins”</w:t>
      </w:r>
    </w:p>
    <w:p>
      <w:pPr>
        <w:pStyle w:val="FirstParagraph"/>
      </w:pPr>
      <w:r>
        <w:rPr>
          <w:b/>
          <w:bCs/>
        </w:rPr>
        <w:t xml:space="preserve">Visual</w:t>
      </w:r>
      <w:r>
        <w:t xml:space="preserve">: Organizational chart showing integrated squad structure</w:t>
      </w:r>
    </w:p>
    <w:p>
      <w:pPr>
        <w:pStyle w:val="BodyText"/>
      </w:pPr>
      <w:r>
        <w:rPr>
          <w:b/>
          <w:bCs/>
        </w:rPr>
        <w:t xml:space="preserve">Duration</w:t>
      </w:r>
      <w:r>
        <w:t xml:space="preserve">: 2.5 minutes</w:t>
      </w:r>
    </w:p>
    <w:bookmarkStart w:id="46" w:name="squad-composition"/>
    <w:p>
      <w:pPr>
        <w:pStyle w:val="Heading3"/>
      </w:pPr>
      <w:r>
        <w:t xml:space="preserve">Squad Composition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t xml:space="preserve">Data Science Lead</w:t>
            </w:r>
          </w:p>
        </w:tc>
        <w:tc>
          <w:tcPr/>
          <w:p>
            <w:pPr>
              <w:pStyle w:val="Compact"/>
            </w:pPr>
            <w:r>
              <w:t xml:space="preserve">Uplift modeling and causal inference</w:t>
            </w:r>
          </w:p>
        </w:tc>
      </w:tr>
      <w:tr>
        <w:tc>
          <w:tcPr/>
          <w:p>
            <w:pPr>
              <w:pStyle w:val="Compact"/>
            </w:pPr>
            <w:r>
              <w:t xml:space="preserve">Media Strategist</w:t>
            </w:r>
          </w:p>
        </w:tc>
        <w:tc>
          <w:tcPr/>
          <w:p>
            <w:pPr>
              <w:pStyle w:val="Compact"/>
            </w:pPr>
            <w:r>
              <w:t xml:space="preserve">Programmatic activation and DSP optimization</w:t>
            </w:r>
          </w:p>
        </w:tc>
      </w:tr>
      <w:tr>
        <w:tc>
          <w:tcPr/>
          <w:p>
            <w:pPr>
              <w:pStyle w:val="Compact"/>
            </w:pPr>
            <w:r>
              <w:t xml:space="preserve">Marketing Manager</w:t>
            </w:r>
          </w:p>
        </w:tc>
        <w:tc>
          <w:tcPr/>
          <w:p>
            <w:pPr>
              <w:pStyle w:val="Compact"/>
            </w:pPr>
            <w:r>
              <w:t xml:space="preserve">Campaign oversight and performance accountability</w:t>
            </w:r>
          </w:p>
        </w:tc>
      </w:tr>
      <w:tr>
        <w:tc>
          <w:tcPr/>
          <w:p>
            <w:pPr>
              <w:pStyle w:val="Compact"/>
            </w:pPr>
            <w:r>
              <w:t xml:space="preserve">Analytics Specialist</w:t>
            </w:r>
          </w:p>
        </w:tc>
        <w:tc>
          <w:tcPr/>
          <w:p>
            <w:pPr>
              <w:pStyle w:val="Compact"/>
            </w:pPr>
            <w:r>
              <w:t xml:space="preserve">Incrementality measurement and reporting</w:t>
            </w:r>
          </w:p>
        </w:tc>
      </w:tr>
    </w:tbl>
    <w:bookmarkEnd w:id="46"/>
    <w:bookmarkStart w:id="47" w:name="success-factors"/>
    <w:p>
      <w:pPr>
        <w:pStyle w:val="Heading3"/>
      </w:pPr>
      <w:r>
        <w:t xml:space="preserve">Success Factors</w:t>
      </w:r>
    </w:p>
    <w:p>
      <w:pPr>
        <w:pStyle w:val="Compact"/>
        <w:numPr>
          <w:ilvl w:val="0"/>
          <w:numId w:val="1038"/>
        </w:numPr>
      </w:pPr>
      <w:r>
        <w:t xml:space="preserve">Shared KPIs: incremental conversions, not total conversions</w:t>
      </w:r>
    </w:p>
    <w:p>
      <w:pPr>
        <w:pStyle w:val="Compact"/>
        <w:numPr>
          <w:ilvl w:val="0"/>
          <w:numId w:val="1038"/>
        </w:numPr>
      </w:pPr>
      <w:r>
        <w:t xml:space="preserve">Weekly model refreshes based on campaign performance</w:t>
      </w:r>
    </w:p>
    <w:p>
      <w:pPr>
        <w:pStyle w:val="Compact"/>
        <w:numPr>
          <w:ilvl w:val="0"/>
          <w:numId w:val="1038"/>
        </w:numPr>
      </w:pPr>
      <w:r>
        <w:t xml:space="preserve">Real-time bid adjustment authority</w:t>
      </w:r>
    </w:p>
    <w:p>
      <w:pPr>
        <w:pStyle w:val="Compact"/>
        <w:numPr>
          <w:ilvl w:val="0"/>
          <w:numId w:val="1038"/>
        </w:numPr>
      </w:pPr>
      <w:r>
        <w:t xml:space="preserve">Holdout group discipline for proper measurement</w:t>
      </w:r>
    </w:p>
    <w:p>
      <w:pPr>
        <w:pStyle w:val="FirstParagraph"/>
      </w:pPr>
      <w:r>
        <w:rPr>
          <w:b/>
          <w:bCs/>
        </w:rPr>
        <w:t xml:space="preserve">Talk Track</w:t>
      </w:r>
      <w:r>
        <w:t xml:space="preserve">:</w:t>
      </w:r>
      <w:r>
        <w:t xml:space="preserve"> </w:t>
      </w:r>
      <w:r>
        <w:t xml:space="preserve">“Technology alone doesn’t deliver results – you need the right operating model. Leading banks form cross-functional squads with shared accountability for incremental performance. The key is aligning incentives around causal impact, not correlation metrics. These squads have authority to make real-time adjustments based on performance signals.”</w:t>
      </w:r>
    </w:p>
    <w:bookmarkEnd w:id="47"/>
    <w:bookmarkEnd w:id="48"/>
    <w:bookmarkStart w:id="53" w:name="X0bbbcea70909291d46516de9a556a29c4300352"/>
    <w:p>
      <w:pPr>
        <w:pStyle w:val="Heading2"/>
      </w:pPr>
      <w:r>
        <w:t xml:space="preserve">SLIDE 24:</w:t>
      </w:r>
      <w:r>
        <w:t xml:space="preserve"> </w:t>
      </w:r>
      <w:r>
        <w:t xml:space="preserve">“When All Four Pillars Align: The Complete System in Action”</w:t>
      </w:r>
    </w:p>
    <w:p>
      <w:pPr>
        <w:pStyle w:val="FirstParagraph"/>
      </w:pPr>
      <w:r>
        <w:rPr>
          <w:b/>
          <w:bCs/>
        </w:rPr>
        <w:t xml:space="preserve">Visual</w:t>
      </w:r>
      <w:r>
        <w:t xml:space="preserve">: Integrated system diagram showing how all four pillars create compounding competitive advantage with real performance metrics</w:t>
      </w:r>
    </w:p>
    <w:p>
      <w:pPr>
        <w:pStyle w:val="BodyText"/>
      </w:pPr>
      <w:r>
        <w:rPr>
          <w:b/>
          <w:bCs/>
        </w:rPr>
        <w:t xml:space="preserve">Duration</w:t>
      </w:r>
      <w:r>
        <w:t xml:space="preserve">: 4 minutes</w:t>
      </w:r>
    </w:p>
    <w:bookmarkStart w:id="49" w:name="the-integrated-system-working-together"/>
    <w:p>
      <w:pPr>
        <w:pStyle w:val="Heading3"/>
      </w:pPr>
      <w:r>
        <w:t xml:space="preserve">The Integrated System Working Together</w:t>
      </w:r>
    </w:p>
    <w:p>
      <w:pPr>
        <w:pStyle w:val="FirstParagraph"/>
      </w:pPr>
      <w:r>
        <w:rPr>
          <w:b/>
          <w:bCs/>
        </w:rPr>
        <w:t xml:space="preserve">Pillar 1 –&gt; Pillar 2</w:t>
      </w:r>
      <w:r>
        <w:t xml:space="preserve">: Causal Audience Identification –&gt; Precision Targeting</w:t>
      </w:r>
    </w:p>
    <w:p>
      <w:pPr>
        <w:pStyle w:val="Compact"/>
        <w:numPr>
          <w:ilvl w:val="0"/>
          <w:numId w:val="1039"/>
        </w:numPr>
      </w:pPr>
      <w:r>
        <w:t xml:space="preserve">X-Learner identifies Persuadables based on incremental impact –&gt; DSP activation with premium bid strategies –&gt; Zero-waste media deployment</w:t>
      </w:r>
    </w:p>
    <w:p>
      <w:pPr>
        <w:pStyle w:val="Compact"/>
        <w:numPr>
          <w:ilvl w:val="0"/>
          <w:numId w:val="1039"/>
        </w:numPr>
      </w:pPr>
      <w:r>
        <w:rPr>
          <w:b/>
          <w:bCs/>
        </w:rPr>
        <w:t xml:space="preserve">U.S. Bank Result</w:t>
      </w:r>
      <w:r>
        <w:t xml:space="preserve">: 192% ROI improvement from methodology change alone</w:t>
      </w:r>
    </w:p>
    <w:p>
      <w:pPr>
        <w:pStyle w:val="FirstParagraph"/>
      </w:pPr>
      <w:r>
        <w:rPr>
          <w:b/>
          <w:bCs/>
        </w:rPr>
        <w:t xml:space="preserve">Pillar 2 –&gt; Pillar 3</w:t>
      </w:r>
      <w:r>
        <w:t xml:space="preserve">: Precision Targeting –&gt; Supply Chain Optimization</w:t>
      </w:r>
    </w:p>
    <w:p>
      <w:pPr>
        <w:pStyle w:val="Compact"/>
        <w:numPr>
          <w:ilvl w:val="0"/>
          <w:numId w:val="1040"/>
        </w:numPr>
      </w:pPr>
      <w:r>
        <w:t xml:space="preserve">Pre-computed uplift scores –&gt; 100ms RTB-compatible activation –&gt; Real-time precision at programmatic scale</w:t>
      </w:r>
    </w:p>
    <w:p>
      <w:pPr>
        <w:pStyle w:val="Compact"/>
        <w:numPr>
          <w:ilvl w:val="0"/>
          <w:numId w:val="1040"/>
        </w:numPr>
      </w:pPr>
      <w:r>
        <w:rPr>
          <w:b/>
          <w:bCs/>
        </w:rPr>
        <w:t xml:space="preserve">Bank of America Result</w:t>
      </w:r>
      <w:r>
        <w:t xml:space="preserve">: 28% incremental conversion improvement in 6-week deployment</w:t>
      </w:r>
    </w:p>
    <w:p>
      <w:pPr>
        <w:pStyle w:val="FirstParagraph"/>
      </w:pPr>
      <w:r>
        <w:rPr>
          <w:b/>
          <w:bCs/>
        </w:rPr>
        <w:t xml:space="preserve">Pillar 3 –&gt; Pillar 4</w:t>
      </w:r>
      <w:r>
        <w:t xml:space="preserve">: Supply Chain Optimization –&gt; Acquisition-Retention Flywheel</w:t>
      </w:r>
    </w:p>
    <w:p>
      <w:pPr>
        <w:pStyle w:val="Compact"/>
        <w:numPr>
          <w:ilvl w:val="0"/>
          <w:numId w:val="1041"/>
        </w:numPr>
      </w:pPr>
      <w:r>
        <w:t xml:space="preserve">Quality targeting at scale –&gt; Higher customer retention rates –&gt; Expanded LTV –&gt; Increased acquisition capacity</w:t>
      </w:r>
    </w:p>
    <w:p>
      <w:pPr>
        <w:pStyle w:val="Compact"/>
        <w:numPr>
          <w:ilvl w:val="0"/>
          <w:numId w:val="1041"/>
        </w:numPr>
      </w:pPr>
      <w:r>
        <w:rPr>
          <w:b/>
          <w:bCs/>
        </w:rPr>
        <w:t xml:space="preserve">Customer Science Result</w:t>
      </w:r>
      <w:r>
        <w:t xml:space="preserve">: 2.3 point churn reduction + 14% cost decrease in 90 days</w:t>
      </w:r>
    </w:p>
    <w:p>
      <w:pPr>
        <w:pStyle w:val="FirstParagraph"/>
      </w:pPr>
      <w:r>
        <w:rPr>
          <w:b/>
          <w:bCs/>
        </w:rPr>
        <w:t xml:space="preserve">Pillar 4 –&gt; Pillar 1</w:t>
      </w:r>
      <w:r>
        <w:t xml:space="preserve">: Retention Feedback –&gt; Enhanced Modeling</w:t>
      </w:r>
    </w:p>
    <w:p>
      <w:pPr>
        <w:pStyle w:val="Compact"/>
        <w:numPr>
          <w:ilvl w:val="0"/>
          <w:numId w:val="1042"/>
        </w:numPr>
      </w:pPr>
      <w:r>
        <w:t xml:space="preserve">Retention outcome data –&gt; Improved causal model accuracy –&gt; Better Persuadables identification –&gt; Accelerated flywheel effects</w:t>
      </w:r>
    </w:p>
    <w:p>
      <w:pPr>
        <w:pStyle w:val="Compact"/>
        <w:numPr>
          <w:ilvl w:val="0"/>
          <w:numId w:val="1042"/>
        </w:numPr>
      </w:pPr>
      <w:r>
        <w:rPr>
          <w:b/>
          <w:bCs/>
        </w:rPr>
        <w:t xml:space="preserve">Compounding Impact</w:t>
      </w:r>
      <w:r>
        <w:t xml:space="preserve">: Each cycle improves the next, creating sustainable competitive differentiation</w:t>
      </w:r>
    </w:p>
    <w:bookmarkEnd w:id="49"/>
    <w:bookmarkStart w:id="50" w:name="X332c1fcd4e195c2fdb10760f75774dc8ce38150"/>
    <w:p>
      <w:pPr>
        <w:pStyle w:val="Heading3"/>
      </w:pPr>
      <w:r>
        <w:t xml:space="preserve">Measured System Performance When All Pillars Align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Timeline to Results</w:t>
            </w:r>
          </w:p>
        </w:tc>
        <w:tc>
          <w:tcPr/>
          <w:p>
            <w:pPr>
              <w:pStyle w:val="Compact"/>
            </w:pPr>
            <w:r>
              <w:t xml:space="preserve">6-12 weeks vs. 18+ months for traditional data initiatives</w:t>
            </w:r>
          </w:p>
        </w:tc>
      </w:tr>
      <w:tr>
        <w:tc>
          <w:tcPr/>
          <w:p>
            <w:pPr>
              <w:pStyle w:val="Compact"/>
            </w:pPr>
            <w:r>
              <w:t xml:space="preserve">Performance Improvement</w:t>
            </w:r>
          </w:p>
        </w:tc>
        <w:tc>
          <w:tcPr/>
          <w:p>
            <w:pPr>
              <w:pStyle w:val="Compact"/>
            </w:pPr>
            <w:r>
              <w:t xml:space="preserve">150-530% ROI in year one with continued acceleration</w:t>
            </w:r>
          </w:p>
        </w:tc>
      </w:tr>
      <w:tr>
        <w:tc>
          <w:tcPr/>
          <w:p>
            <w:pPr>
              <w:pStyle w:val="Compact"/>
            </w:pPr>
            <w:r>
              <w:t xml:space="preserve">Competitive Advantage Window</w:t>
            </w:r>
          </w:p>
        </w:tc>
        <w:tc>
          <w:tcPr/>
          <w:p>
            <w:pPr>
              <w:pStyle w:val="Compact"/>
            </w:pPr>
            <w:r>
              <w:t xml:space="preserve">12-18 months before methodologies become commoditized</w:t>
            </w:r>
          </w:p>
        </w:tc>
      </w:tr>
      <w:tr>
        <w:tc>
          <w:tcPr/>
          <w:p>
            <w:pPr>
              <w:pStyle w:val="Compact"/>
            </w:pPr>
            <w:r>
              <w:t xml:space="preserve">Sustainability</w:t>
            </w:r>
          </w:p>
        </w:tc>
        <w:tc>
          <w:tcPr/>
          <w:p>
            <w:pPr>
              <w:pStyle w:val="Compact"/>
            </w:pPr>
            <w:r>
              <w:t xml:space="preserve">Results improve over time rather than plateau due to flywheel mechanics</w:t>
            </w:r>
          </w:p>
        </w:tc>
      </w:tr>
    </w:tbl>
    <w:bookmarkEnd w:id="50"/>
    <w:bookmarkStart w:id="51" w:name="the-economic-reality"/>
    <w:p>
      <w:pPr>
        <w:pStyle w:val="Heading3"/>
      </w:pPr>
      <w:r>
        <w:t xml:space="preserve">The Economic Reality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Impact</w:t>
            </w:r>
          </w:p>
        </w:tc>
      </w:tr>
      <w:tr>
        <w:tc>
          <w:tcPr/>
          <w:p>
            <w:pPr>
              <w:pStyle w:val="Compact"/>
            </w:pPr>
            <w:r>
              <w:t xml:space="preserve">Higher CPMs</w:t>
            </w:r>
          </w:p>
        </w:tc>
        <w:tc>
          <w:tcPr/>
          <w:p>
            <w:pPr>
              <w:pStyle w:val="Compact"/>
            </w:pPr>
            <w:r>
              <w:t xml:space="preserve">2-3x media cost increase through premium targeting</w:t>
            </w:r>
          </w:p>
        </w:tc>
      </w:tr>
      <w:tr>
        <w:tc>
          <w:tcPr/>
          <w:p>
            <w:pPr>
              <w:pStyle w:val="Compact"/>
            </w:pPr>
            <w:r>
              <w:t xml:space="preserve">Lower CPA</w:t>
            </w:r>
          </w:p>
        </w:tc>
        <w:tc>
          <w:tcPr/>
          <w:p>
            <w:pPr>
              <w:pStyle w:val="Compact"/>
            </w:pPr>
            <w:r>
              <w:t xml:space="preserve">40-68% acquisition cost reduction through waste elimination</w:t>
            </w:r>
          </w:p>
        </w:tc>
      </w:tr>
      <w:tr>
        <w:tc>
          <w:tcPr/>
          <w:p>
            <w:pPr>
              <w:pStyle w:val="Compact"/>
            </w:pPr>
            <w:r>
              <w:t xml:space="preserve">Better LTV</w:t>
            </w:r>
          </w:p>
        </w:tc>
        <w:tc>
          <w:tcPr/>
          <w:p>
            <w:pPr>
              <w:pStyle w:val="Compact"/>
            </w:pPr>
            <w:r>
              <w:t xml:space="preserve">30%+ lifetime value improvement from quality customer acquisition</w:t>
            </w:r>
          </w:p>
        </w:tc>
      </w:tr>
      <w:tr>
        <w:tc>
          <w:tcPr/>
          <w:p>
            <w:pPr>
              <w:pStyle w:val="Compact"/>
            </w:pPr>
            <w:r>
              <w:t xml:space="preserve">More Capacity</w:t>
            </w:r>
          </w:p>
        </w:tc>
        <w:tc>
          <w:tcPr/>
          <w:p>
            <w:pPr>
              <w:pStyle w:val="Compact"/>
            </w:pPr>
            <w:r>
              <w:t xml:space="preserve">2-3x acquisition spending capability while maintaining unit economics</w:t>
            </w:r>
          </w:p>
        </w:tc>
      </w:tr>
    </w:tbl>
    <w:bookmarkEnd w:id="51"/>
    <w:bookmarkStart w:id="52" w:name="your-decision-point"/>
    <w:p>
      <w:pPr>
        <w:pStyle w:val="Heading3"/>
      </w:pPr>
      <w:r>
        <w:t xml:space="preserve">Your Decision Point</w:t>
      </w:r>
    </w:p>
    <w:p>
      <w:pPr>
        <w:pStyle w:val="Compact"/>
        <w:numPr>
          <w:ilvl w:val="0"/>
          <w:numId w:val="1043"/>
        </w:numPr>
      </w:pPr>
      <w:r>
        <w:rPr>
          <w:b/>
          <w:bCs/>
        </w:rPr>
        <w:t xml:space="preserve">THIS WEEK</w:t>
      </w:r>
      <w:r>
        <w:t xml:space="preserve">: Executive alignment on four-pillar systematic approach</w:t>
      </w:r>
    </w:p>
    <w:p>
      <w:pPr>
        <w:pStyle w:val="Compact"/>
        <w:numPr>
          <w:ilvl w:val="0"/>
          <w:numId w:val="1043"/>
        </w:numPr>
      </w:pPr>
      <w:r>
        <w:rPr>
          <w:b/>
          <w:bCs/>
        </w:rPr>
        <w:t xml:space="preserve">NEXT WEEK</w:t>
      </w:r>
      <w:r>
        <w:t xml:space="preserve">: Phase 1 resource allocation and project kickoff</w:t>
      </w:r>
    </w:p>
    <w:p>
      <w:pPr>
        <w:pStyle w:val="Compact"/>
        <w:numPr>
          <w:ilvl w:val="0"/>
          <w:numId w:val="1043"/>
        </w:numPr>
      </w:pPr>
      <w:r>
        <w:rPr>
          <w:b/>
          <w:bCs/>
        </w:rPr>
        <w:t xml:space="preserve">MARCH 31</w:t>
      </w:r>
      <w:r>
        <w:t xml:space="preserve">: First $50M tracked incremental value from systematic implementation</w:t>
      </w:r>
    </w:p>
    <w:p>
      <w:pPr>
        <w:pStyle w:val="FirstParagraph"/>
      </w:pPr>
      <w:r>
        <w:rPr>
          <w:b/>
          <w:bCs/>
        </w:rPr>
        <w:t xml:space="preserve">The Window Is Closing</w:t>
      </w:r>
      <w:r>
        <w:t xml:space="preserve">: JPMorgan, Bank of America, Wells Fargo, Barclays already implementing systematic causal approaches – early adopters compound advantages through superior unit economics</w:t>
      </w:r>
    </w:p>
    <w:p>
      <w:pPr>
        <w:pStyle w:val="BodyText"/>
      </w:pPr>
      <w:r>
        <w:rPr>
          <w:b/>
          <w:bCs/>
        </w:rPr>
        <w:t xml:space="preserve">Talk Track</w:t>
      </w:r>
      <w:r>
        <w:t xml:space="preserve">:</w:t>
      </w:r>
      <w:r>
        <w:t xml:space="preserve"> </w:t>
      </w:r>
      <w:r>
        <w:t xml:space="preserve">“When all four pillars work in harmony, you don’t just improve marketing performance – you create a self-reinforcing competitive advantage. Causal identification feeds precision targeting, which enables supply chain optimization, which drives retention improvement, which enhances modeling capability – and the cycle accelerates. The organizations implementing this systematically see 2-3x performance improvements and build 12-18 month competitive moats before these approaches become standard practice. You have everything needed to start: existing data, existing technology, proven methodologies. The only thing missing is the decision to stop targeting correlation and start targeting causation. The question isn’t whether this works – these case studies prove it does. The question is whether you’ll lead the transformation or follow it. The window is open, but it’s closing. Your competitors are already moving. What will you decide?”</w:t>
      </w:r>
    </w:p>
    <w:bookmarkEnd w:id="52"/>
    <w:bookmarkEnd w:id="53"/>
    <w:bookmarkStart w:id="59" w:name="presentation-delivery-notes"/>
    <w:p>
      <w:pPr>
        <w:pStyle w:val="Heading2"/>
      </w:pPr>
      <w:r>
        <w:t xml:space="preserve">PRESENTATION DELIVERY NOTES</w:t>
      </w:r>
    </w:p>
    <w:p>
      <w:pPr>
        <w:pStyle w:val="FirstParagraph"/>
      </w:pPr>
      <w:r>
        <w:rPr>
          <w:b/>
          <w:bCs/>
        </w:rPr>
        <w:t xml:space="preserve">Total Duration</w:t>
      </w:r>
      <w:r>
        <w:t xml:space="preserve">: 40 minutes (35 presentation + 5 Q&amp;A)</w:t>
      </w:r>
    </w:p>
    <w:bookmarkStart w:id="54" w:name="section-timing"/>
    <w:p>
      <w:pPr>
        <w:pStyle w:val="Heading3"/>
      </w:pPr>
      <w:r>
        <w:t xml:space="preserve">Section Timing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Slides</w:t>
            </w:r>
          </w:p>
        </w:tc>
        <w:tc>
          <w:tcPr/>
          <w:p>
            <w:pPr>
              <w:pStyle w:val="Compact"/>
            </w:pPr>
            <w:r>
              <w:t xml:space="preserve">Duration</w:t>
            </w:r>
          </w:p>
        </w:tc>
      </w:tr>
      <w:tr>
        <w:tc>
          <w:tcPr/>
          <w:p>
            <w:pPr>
              <w:pStyle w:val="Compact"/>
            </w:pPr>
            <w:r>
              <w:t xml:space="preserve">Problem Establishment</w:t>
            </w:r>
          </w:p>
        </w:tc>
        <w:tc>
          <w:tcPr/>
          <w:p>
            <w:pPr>
              <w:pStyle w:val="Compact"/>
            </w:pPr>
            <w:r>
              <w:t xml:space="preserve">Slides 1-3</w:t>
            </w:r>
          </w:p>
        </w:tc>
        <w:tc>
          <w:tcPr/>
          <w:p>
            <w:pPr>
              <w:pStyle w:val="Compact"/>
            </w:pPr>
            <w:r>
              <w:t xml:space="preserve">8 minutes</w:t>
            </w:r>
          </w:p>
        </w:tc>
      </w:tr>
      <w:tr>
        <w:tc>
          <w:tcPr/>
          <w:p>
            <w:pPr>
              <w:pStyle w:val="Compact"/>
            </w:pPr>
            <w:r>
              <w:t xml:space="preserve">Four-Pillar Framework</w:t>
            </w:r>
          </w:p>
        </w:tc>
        <w:tc>
          <w:tcPr/>
          <w:p>
            <w:pPr>
              <w:pStyle w:val="Compact"/>
            </w:pPr>
            <w:r>
              <w:t xml:space="preserve">Slides 4-8</w:t>
            </w:r>
          </w:p>
        </w:tc>
        <w:tc>
          <w:tcPr/>
          <w:p>
            <w:pPr>
              <w:pStyle w:val="Compact"/>
            </w:pPr>
            <w:r>
              <w:t xml:space="preserve">16 minutes</w:t>
            </w:r>
          </w:p>
        </w:tc>
      </w:tr>
      <w:tr>
        <w:tc>
          <w:tcPr/>
          <w:p>
            <w:pPr>
              <w:pStyle w:val="Compact"/>
            </w:pPr>
            <w:r>
              <w:t xml:space="preserve">Implementation &amp; Proof</w:t>
            </w:r>
          </w:p>
        </w:tc>
        <w:tc>
          <w:tcPr/>
          <w:p>
            <w:pPr>
              <w:pStyle w:val="Compact"/>
            </w:pPr>
            <w:r>
              <w:t xml:space="preserve">Slides 9-10</w:t>
            </w:r>
          </w:p>
        </w:tc>
        <w:tc>
          <w:tcPr/>
          <w:p>
            <w:pPr>
              <w:pStyle w:val="Compact"/>
            </w:pPr>
            <w:r>
              <w:t xml:space="preserve">8.5 minutes</w:t>
            </w:r>
          </w:p>
        </w:tc>
      </w:tr>
      <w:tr>
        <w:tc>
          <w:tcPr/>
          <w:p>
            <w:pPr>
              <w:pStyle w:val="Compact"/>
            </w:pPr>
            <w:r>
              <w:t xml:space="preserve">Activation Pathways</w:t>
            </w:r>
          </w:p>
        </w:tc>
        <w:tc>
          <w:tcPr/>
          <w:p>
            <w:pPr>
              <w:pStyle w:val="Compact"/>
            </w:pPr>
            <w:r>
              <w:t xml:space="preserve">Slides 11-12</w:t>
            </w:r>
          </w:p>
        </w:tc>
        <w:tc>
          <w:tcPr/>
          <w:p>
            <w:pPr>
              <w:pStyle w:val="Compact"/>
            </w:pPr>
            <w:r>
              <w:t xml:space="preserve">6 minutes</w:t>
            </w:r>
          </w:p>
        </w:tc>
      </w:tr>
      <w:tr>
        <w:tc>
          <w:tcPr/>
          <w:p>
            <w:pPr>
              <w:pStyle w:val="Compact"/>
            </w:pPr>
            <w:r>
              <w:t xml:space="preserve">Premium Environments</w:t>
            </w:r>
          </w:p>
        </w:tc>
        <w:tc>
          <w:tcPr/>
          <w:p>
            <w:pPr>
              <w:pStyle w:val="Compact"/>
            </w:pPr>
            <w:r>
              <w:t xml:space="preserve">Slides 13-15</w:t>
            </w:r>
          </w:p>
        </w:tc>
        <w:tc>
          <w:tcPr/>
          <w:p>
            <w:pPr>
              <w:pStyle w:val="Compact"/>
            </w:pPr>
            <w:r>
              <w:t xml:space="preserve">6 minutes</w:t>
            </w:r>
          </w:p>
        </w:tc>
      </w:tr>
      <w:tr>
        <w:tc>
          <w:tcPr/>
          <w:p>
            <w:pPr>
              <w:pStyle w:val="Compact"/>
            </w:pPr>
            <w:r>
              <w:t xml:space="preserve">Measurement &amp; Retention</w:t>
            </w:r>
          </w:p>
        </w:tc>
        <w:tc>
          <w:tcPr/>
          <w:p>
            <w:pPr>
              <w:pStyle w:val="Compact"/>
            </w:pPr>
            <w:r>
              <w:t xml:space="preserve">Slides 16-18</w:t>
            </w:r>
          </w:p>
        </w:tc>
        <w:tc>
          <w:tcPr/>
          <w:p>
            <w:pPr>
              <w:pStyle w:val="Compact"/>
            </w:pPr>
            <w:r>
              <w:t xml:space="preserve">7 minutes</w:t>
            </w:r>
          </w:p>
        </w:tc>
      </w:tr>
      <w:tr>
        <w:tc>
          <w:tcPr/>
          <w:p>
            <w:pPr>
              <w:pStyle w:val="Compact"/>
            </w:pPr>
            <w:r>
              <w:t xml:space="preserve">Financial Impact &amp; Action</w:t>
            </w:r>
          </w:p>
        </w:tc>
        <w:tc>
          <w:tcPr/>
          <w:p>
            <w:pPr>
              <w:pStyle w:val="Compact"/>
            </w:pPr>
            <w:r>
              <w:t xml:space="preserve">Slides 19-22</w:t>
            </w:r>
          </w:p>
        </w:tc>
        <w:tc>
          <w:tcPr/>
          <w:p>
            <w:pPr>
              <w:pStyle w:val="Compact"/>
            </w:pPr>
            <w:r>
              <w:t xml:space="preserve">10 minutes</w:t>
            </w:r>
          </w:p>
        </w:tc>
      </w:tr>
      <w:tr>
        <w:tc>
          <w:tcPr/>
          <w:p>
            <w:pPr>
              <w:pStyle w:val="Compact"/>
            </w:pPr>
            <w:r>
              <w:t xml:space="preserve">Operating Model &amp; Close</w:t>
            </w:r>
          </w:p>
        </w:tc>
        <w:tc>
          <w:tcPr/>
          <w:p>
            <w:pPr>
              <w:pStyle w:val="Compact"/>
            </w:pPr>
            <w:r>
              <w:t xml:space="preserve">Slides 23-24</w:t>
            </w:r>
          </w:p>
        </w:tc>
        <w:tc>
          <w:tcPr/>
          <w:p>
            <w:pPr>
              <w:pStyle w:val="Compact"/>
            </w:pPr>
            <w:r>
              <w:t xml:space="preserve">6.5 minutes</w:t>
            </w:r>
          </w:p>
        </w:tc>
      </w:tr>
    </w:tbl>
    <w:bookmarkEnd w:id="54"/>
    <w:bookmarkStart w:id="55" w:name="key-emphasis-points"/>
    <w:p>
      <w:pPr>
        <w:pStyle w:val="Heading3"/>
      </w:pPr>
      <w:r>
        <w:t xml:space="preserve">Key Emphasis Points</w:t>
      </w:r>
    </w:p>
    <w:p>
      <w:pPr>
        <w:pStyle w:val="Compact"/>
        <w:numPr>
          <w:ilvl w:val="0"/>
          <w:numId w:val="1044"/>
        </w:numPr>
      </w:pPr>
      <w:r>
        <w:rPr>
          <w:b/>
          <w:bCs/>
        </w:rPr>
        <w:t xml:space="preserve">Performance Plateau</w:t>
      </w:r>
      <w:r>
        <w:t xml:space="preserve">: 73% of premium targeting initiatives fail to exceed 20% improvement</w:t>
      </w:r>
    </w:p>
    <w:p>
      <w:pPr>
        <w:pStyle w:val="Compact"/>
        <w:numPr>
          <w:ilvl w:val="0"/>
          <w:numId w:val="1044"/>
        </w:numPr>
      </w:pPr>
      <w:r>
        <w:rPr>
          <w:b/>
          <w:bCs/>
        </w:rPr>
        <w:t xml:space="preserve">Root Cause</w:t>
      </w:r>
      <w:r>
        <w:t xml:space="preserve">: 85% audience overlap across</w:t>
      </w:r>
      <w:r>
        <w:t xml:space="preserve"> </w:t>
      </w:r>
      <w:r>
        <w:t xml:space="preserve">“premium”</w:t>
      </w:r>
      <w:r>
        <w:t xml:space="preserve"> </w:t>
      </w:r>
      <w:r>
        <w:t xml:space="preserve">vendors</w:t>
      </w:r>
    </w:p>
    <w:p>
      <w:pPr>
        <w:pStyle w:val="Compact"/>
        <w:numPr>
          <w:ilvl w:val="0"/>
          <w:numId w:val="1044"/>
        </w:numPr>
      </w:pPr>
      <w:r>
        <w:rPr>
          <w:b/>
          <w:bCs/>
        </w:rPr>
        <w:t xml:space="preserve">Breakthrough Results</w:t>
      </w:r>
      <w:r>
        <w:t xml:space="preserve">: 192% ROI improvement (U.S. Bank), $3M+ savings (Bank of America)</w:t>
      </w:r>
    </w:p>
    <w:p>
      <w:pPr>
        <w:pStyle w:val="Compact"/>
        <w:numPr>
          <w:ilvl w:val="0"/>
          <w:numId w:val="1044"/>
        </w:numPr>
      </w:pPr>
      <w:r>
        <w:rPr>
          <w:b/>
          <w:bCs/>
        </w:rPr>
        <w:t xml:space="preserve">Flywheel Economics</w:t>
      </w:r>
      <w:r>
        <w:t xml:space="preserve">: 5% retention improvement – 25-95% profit increase</w:t>
      </w:r>
    </w:p>
    <w:p>
      <w:pPr>
        <w:pStyle w:val="Compact"/>
        <w:numPr>
          <w:ilvl w:val="0"/>
          <w:numId w:val="1044"/>
        </w:numPr>
      </w:pPr>
      <w:r>
        <w:rPr>
          <w:b/>
          <w:bCs/>
        </w:rPr>
        <w:t xml:space="preserve">Implementation Speed</w:t>
      </w:r>
      <w:r>
        <w:t xml:space="preserve">: 6-12 weeks vs. 18+ months for traditional approaches</w:t>
      </w:r>
    </w:p>
    <w:p>
      <w:pPr>
        <w:pStyle w:val="Compact"/>
        <w:numPr>
          <w:ilvl w:val="0"/>
          <w:numId w:val="1044"/>
        </w:numPr>
      </w:pPr>
      <w:r>
        <w:rPr>
          <w:b/>
          <w:bCs/>
        </w:rPr>
        <w:t xml:space="preserve">Competitive Window</w:t>
      </w:r>
      <w:r>
        <w:t xml:space="preserve">: 12-18 months before systematic causal approaches become commoditized</w:t>
      </w:r>
    </w:p>
    <w:bookmarkEnd w:id="55"/>
    <w:bookmarkStart w:id="56" w:name="narrative-arc"/>
    <w:p>
      <w:pPr>
        <w:pStyle w:val="Heading3"/>
      </w:pPr>
      <w:r>
        <w:t xml:space="preserve">Narrative Arc</w:t>
      </w:r>
    </w:p>
    <w:p>
      <w:pPr>
        <w:pStyle w:val="Compact"/>
        <w:numPr>
          <w:ilvl w:val="0"/>
          <w:numId w:val="1045"/>
        </w:numPr>
      </w:pPr>
      <w:r>
        <w:rPr>
          <w:b/>
          <w:bCs/>
        </w:rPr>
        <w:t xml:space="preserve">Acknowledgment</w:t>
      </w:r>
      <w:r>
        <w:t xml:space="preserve">:</w:t>
      </w:r>
      <w:r>
        <w:t xml:space="preserve"> </w:t>
      </w:r>
      <w:r>
        <w:t xml:space="preserve">“Premium targeting has failed despite massive investment”</w:t>
      </w:r>
    </w:p>
    <w:p>
      <w:pPr>
        <w:pStyle w:val="Compact"/>
        <w:numPr>
          <w:ilvl w:val="0"/>
          <w:numId w:val="1045"/>
        </w:numPr>
      </w:pPr>
      <w:r>
        <w:rPr>
          <w:b/>
          <w:bCs/>
        </w:rPr>
        <w:t xml:space="preserve">Diagnosis</w:t>
      </w:r>
      <w:r>
        <w:t xml:space="preserve">:</w:t>
      </w:r>
      <w:r>
        <w:t xml:space="preserve"> </w:t>
      </w:r>
      <w:r>
        <w:t xml:space="preserve">“Everyone is targeting the same audiences with identical logic”</w:t>
      </w:r>
    </w:p>
    <w:p>
      <w:pPr>
        <w:pStyle w:val="Compact"/>
        <w:numPr>
          <w:ilvl w:val="0"/>
          <w:numId w:val="1045"/>
        </w:numPr>
      </w:pPr>
      <w:r>
        <w:rPr>
          <w:b/>
          <w:bCs/>
        </w:rPr>
        <w:t xml:space="preserve">Hope</w:t>
      </w:r>
      <w:r>
        <w:t xml:space="preserve">:</w:t>
      </w:r>
      <w:r>
        <w:t xml:space="preserve"> </w:t>
      </w:r>
      <w:r>
        <w:t xml:space="preserve">“There is a different paradigm - four-pillar system optimization”</w:t>
      </w:r>
    </w:p>
    <w:p>
      <w:pPr>
        <w:pStyle w:val="Compact"/>
        <w:numPr>
          <w:ilvl w:val="0"/>
          <w:numId w:val="1045"/>
        </w:numPr>
      </w:pPr>
      <w:r>
        <w:rPr>
          <w:b/>
          <w:bCs/>
        </w:rPr>
        <w:t xml:space="preserve">Framework</w:t>
      </w:r>
      <w:r>
        <w:t xml:space="preserve">:</w:t>
      </w:r>
      <w:r>
        <w:t xml:space="preserve"> </w:t>
      </w:r>
      <w:r>
        <w:t xml:space="preserve">“Each pillar must work together for breakthrough results”</w:t>
      </w:r>
    </w:p>
    <w:p>
      <w:pPr>
        <w:pStyle w:val="Compact"/>
        <w:numPr>
          <w:ilvl w:val="0"/>
          <w:numId w:val="1045"/>
        </w:numPr>
      </w:pPr>
      <w:r>
        <w:rPr>
          <w:b/>
          <w:bCs/>
        </w:rPr>
        <w:t xml:space="preserve">Economics</w:t>
      </w:r>
      <w:r>
        <w:t xml:space="preserve">:</w:t>
      </w:r>
      <w:r>
        <w:t xml:space="preserve"> </w:t>
      </w:r>
      <w:r>
        <w:t xml:space="preserve">“Higher CPMs create better performance through flywheel effects”</w:t>
      </w:r>
    </w:p>
    <w:p>
      <w:pPr>
        <w:pStyle w:val="Compact"/>
        <w:numPr>
          <w:ilvl w:val="0"/>
          <w:numId w:val="1045"/>
        </w:numPr>
      </w:pPr>
      <w:r>
        <w:rPr>
          <w:b/>
          <w:bCs/>
        </w:rPr>
        <w:t xml:space="preserve">Proof</w:t>
      </w:r>
      <w:r>
        <w:t xml:space="preserve">:</w:t>
      </w:r>
      <w:r>
        <w:t xml:space="preserve"> </w:t>
      </w:r>
      <w:r>
        <w:t xml:space="preserve">“Multiple organizations achieving 150-530% ROI improvements”</w:t>
      </w:r>
    </w:p>
    <w:p>
      <w:pPr>
        <w:pStyle w:val="Compact"/>
        <w:numPr>
          <w:ilvl w:val="0"/>
          <w:numId w:val="1045"/>
        </w:numPr>
      </w:pPr>
      <w:r>
        <w:rPr>
          <w:b/>
          <w:bCs/>
        </w:rPr>
        <w:t xml:space="preserve">Action</w:t>
      </w:r>
      <w:r>
        <w:t xml:space="preserve">:</w:t>
      </w:r>
      <w:r>
        <w:t xml:space="preserve"> </w:t>
      </w:r>
      <w:r>
        <w:t xml:space="preserve">“You can start immediately with existing data and technology”</w:t>
      </w:r>
    </w:p>
    <w:p>
      <w:pPr>
        <w:pStyle w:val="Compact"/>
        <w:numPr>
          <w:ilvl w:val="0"/>
          <w:numId w:val="1045"/>
        </w:numPr>
      </w:pPr>
      <w:r>
        <w:rPr>
          <w:b/>
          <w:bCs/>
        </w:rPr>
        <w:t xml:space="preserve">Urgency</w:t>
      </w:r>
      <w:r>
        <w:t xml:space="preserve">:</w:t>
      </w:r>
      <w:r>
        <w:t xml:space="preserve"> </w:t>
      </w:r>
      <w:r>
        <w:t xml:space="preserve">“Competitive window closing as approaches become standard”</w:t>
      </w:r>
    </w:p>
    <w:bookmarkEnd w:id="56"/>
    <w:bookmarkStart w:id="57" w:name="tone-evolution"/>
    <w:p>
      <w:pPr>
        <w:pStyle w:val="Heading3"/>
      </w:pPr>
      <w:r>
        <w:t xml:space="preserve">Tone Evolution</w:t>
      </w:r>
    </w:p>
    <w:p>
      <w:pPr>
        <w:pStyle w:val="Compact"/>
        <w:numPr>
          <w:ilvl w:val="0"/>
          <w:numId w:val="1046"/>
        </w:numPr>
      </w:pPr>
      <w:r>
        <w:t xml:space="preserve">Start: Honest acknowledgment of shared challenges</w:t>
      </w:r>
    </w:p>
    <w:p>
      <w:pPr>
        <w:pStyle w:val="Compact"/>
        <w:numPr>
          <w:ilvl w:val="0"/>
          <w:numId w:val="1046"/>
        </w:numPr>
      </w:pPr>
      <w:r>
        <w:t xml:space="preserve">Build: Analytical diagnosis of systemic problems</w:t>
      </w:r>
    </w:p>
    <w:p>
      <w:pPr>
        <w:pStyle w:val="Compact"/>
        <w:numPr>
          <w:ilvl w:val="0"/>
          <w:numId w:val="1046"/>
        </w:numPr>
      </w:pPr>
      <w:r>
        <w:t xml:space="preserve">Pivot: Confident presentation of systematic solution</w:t>
      </w:r>
    </w:p>
    <w:p>
      <w:pPr>
        <w:pStyle w:val="Compact"/>
        <w:numPr>
          <w:ilvl w:val="0"/>
          <w:numId w:val="1046"/>
        </w:numPr>
      </w:pPr>
      <w:r>
        <w:t xml:space="preserve">Prove: Technical credibility through case studies and research</w:t>
      </w:r>
    </w:p>
    <w:p>
      <w:pPr>
        <w:pStyle w:val="Compact"/>
        <w:numPr>
          <w:ilvl w:val="0"/>
          <w:numId w:val="1046"/>
        </w:numPr>
      </w:pPr>
      <w:r>
        <w:t xml:space="preserve">Close: Urgent call to action with specific next steps</w:t>
      </w:r>
    </w:p>
    <w:bookmarkEnd w:id="57"/>
    <w:bookmarkStart w:id="58" w:name="critical-success-factors"/>
    <w:p>
      <w:pPr>
        <w:pStyle w:val="Heading3"/>
      </w:pPr>
      <w:r>
        <w:t xml:space="preserve">Critical Success Factors</w:t>
      </w:r>
    </w:p>
    <w:p>
      <w:pPr>
        <w:pStyle w:val="Compact"/>
        <w:numPr>
          <w:ilvl w:val="0"/>
          <w:numId w:val="1047"/>
        </w:numPr>
      </w:pPr>
      <w:r>
        <w:t xml:space="preserve">Don’t rush into solutions – fully establish the problem first</w:t>
      </w:r>
    </w:p>
    <w:p>
      <w:pPr>
        <w:pStyle w:val="Compact"/>
        <w:numPr>
          <w:ilvl w:val="0"/>
          <w:numId w:val="1047"/>
        </w:numPr>
      </w:pPr>
      <w:r>
        <w:t xml:space="preserve">Emphasize system integration vs. individual tactics</w:t>
      </w:r>
    </w:p>
    <w:p>
      <w:pPr>
        <w:pStyle w:val="Compact"/>
        <w:numPr>
          <w:ilvl w:val="0"/>
          <w:numId w:val="1047"/>
        </w:numPr>
      </w:pPr>
      <w:r>
        <w:t xml:space="preserve">Use concrete case studies and timelines for credibility</w:t>
      </w:r>
    </w:p>
    <w:p>
      <w:pPr>
        <w:pStyle w:val="Compact"/>
        <w:numPr>
          <w:ilvl w:val="0"/>
          <w:numId w:val="1047"/>
        </w:numPr>
      </w:pPr>
      <w:r>
        <w:t xml:space="preserve">Address affordability concerns directly with flywheel mechanics</w:t>
      </w:r>
    </w:p>
    <w:p>
      <w:pPr>
        <w:pStyle w:val="Compact"/>
        <w:numPr>
          <w:ilvl w:val="0"/>
          <w:numId w:val="1047"/>
        </w:numPr>
      </w:pPr>
      <w:r>
        <w:t xml:space="preserve">Provide immediate actionability with existing assets</w:t>
      </w:r>
    </w:p>
    <w:p>
      <w:pPr>
        <w:pStyle w:val="Compact"/>
        <w:numPr>
          <w:ilvl w:val="0"/>
          <w:numId w:val="1047"/>
        </w:numPr>
      </w:pPr>
      <w:r>
        <w:t xml:space="preserve">Create urgency through competitive window timing</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2026-01-31T23:01:53Z</dcterms:created>
  <dcterms:modified xsi:type="dcterms:W3CDTF">2026-01-31T23:01:53Z</dcterms:modified>
</cp:coreProperties>
</file>

<file path=docProps/custom.xml><?xml version="1.0" encoding="utf-8"?>
<Properties xmlns="http://schemas.openxmlformats.org/officeDocument/2006/custom-properties" xmlns:vt="http://schemas.openxmlformats.org/officeDocument/2006/docPropsVTypes"/>
</file>