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p>
      <w:r>
        <w:pict>
          <v:rect style="width:0;height:1.5pt" o:hralign="center" o:hrstd="t" o:hr="t"/>
        </w:pict>
      </w:r>
    </w:p>
    <w:bookmarkEnd w:id="9"/>
    <w:bookmarkStart w:id="20" w:name="executive-overview"/>
    <w:p>
      <w:pPr>
        <w:pStyle w:val="Heading1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01A-MCMAP_Executive_OnePager.md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Mastercard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the-opportunity-in-one-sentence"/>
    <w:p>
      <w:pPr>
        <w:pStyle w:val="Heading2"/>
      </w:pPr>
      <w:r>
        <w:t xml:space="preserve">THE OPPORTUNITY IN ONE SENTENCE</w:t>
      </w:r>
    </w:p>
    <w:p>
      <w:pPr>
        <w:pStyle w:val="FirstParagraph"/>
      </w:pPr>
      <w:r>
        <w:t xml:space="preserve">MCMAP is an AI-powered strategic advisor platform that transforms media planning from weeks to days—built by one person in 100 hours for under $3,000—demonstrating what Mastercard could achieve at scale.</w:t>
      </w:r>
    </w:p>
    <w:p>
      <w:r>
        <w:pict>
          <v:rect style="width:0;height:1.5pt" o:hralign="center" o:hrstd="t" o:hr="t"/>
        </w:pict>
      </w:r>
    </w:p>
    <w:bookmarkEnd w:id="10"/>
    <w:bookmarkStart w:id="11" w:name="platform-at-a-glance"/>
    <w:p>
      <w:pPr>
        <w:pStyle w:val="Heading2"/>
      </w:pPr>
      <w:r>
        <w:t xml:space="preserve">PLATFORM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Specialized AI Agents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Analytical Capabilities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Verticals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 Documents</w:t>
            </w:r>
          </w:p>
        </w:tc>
        <w:tc>
          <w:tcPr/>
          <w:p>
            <w:pPr>
              <w:pStyle w:val="Compact"/>
            </w:pPr>
            <w:r>
              <w:t xml:space="preserve">37+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Investment</w:t>
            </w:r>
          </w:p>
        </w:tc>
        <w:tc>
          <w:tcPr/>
          <w:p>
            <w:pPr>
              <w:pStyle w:val="Compact"/>
            </w:pPr>
            <w:r>
              <w:t xml:space="preserve">1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Time</w:t>
            </w:r>
          </w:p>
        </w:tc>
        <w:tc>
          <w:tcPr/>
          <w:p>
            <w:pPr>
              <w:pStyle w:val="Compact"/>
            </w:pPr>
            <w:r>
              <w:t xml:space="preserve">~100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Under 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Production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value-delivered"/>
    <w:p>
      <w:pPr>
        <w:pStyle w:val="Heading2"/>
      </w:pPr>
      <w:r>
        <w:t xml:space="preserve">VALUE DELIVERED</w:t>
      </w:r>
    </w:p>
    <w:bookmarkStart w:id="12" w:name="efficiency-gains"/>
    <w:p>
      <w:pPr>
        <w:pStyle w:val="Heading3"/>
      </w:pPr>
      <w:r>
        <w:t xml:space="preserve">Efficiency Gains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After 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planning cycles: Weeks</w:t>
            </w:r>
          </w:p>
        </w:tc>
        <w:tc>
          <w:tcPr/>
          <w:p>
            <w:pPr>
              <w:pStyle w:val="Compact"/>
            </w:pPr>
            <w:r>
              <w:t xml:space="preserve">Media planning cycles: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 creation: Days</w:t>
            </w:r>
          </w:p>
        </w:tc>
        <w:tc>
          <w:tcPr/>
          <w:p>
            <w:pPr>
              <w:pStyle w:val="Compact"/>
            </w:pPr>
            <w:r>
              <w:t xml:space="preserve">Deliverable creation: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varies by experience</w:t>
            </w:r>
          </w:p>
        </w:tc>
        <w:tc>
          <w:tcPr/>
          <w:p>
            <w:pPr>
              <w:pStyle w:val="Compact"/>
            </w:pPr>
            <w:r>
              <w:t xml:space="preserve">Consistent quality for all users</w:t>
            </w:r>
          </w:p>
        </w:tc>
      </w:tr>
    </w:tbl>
    <w:bookmarkEnd w:id="12"/>
    <w:bookmarkStart w:id="13" w:name="revenue-opportunities"/>
    <w:p>
      <w:pPr>
        <w:pStyle w:val="Heading3"/>
      </w:pPr>
      <w:r>
        <w:t xml:space="preserve">Revenue Opportunities</w:t>
      </w:r>
    </w:p>
    <w:p>
      <w:pPr>
        <w:pStyle w:val="Compact"/>
        <w:numPr>
          <w:ilvl w:val="0"/>
          <w:numId w:val="1001"/>
        </w:numPr>
      </w:pPr>
      <w:r>
        <w:t xml:space="preserve">Agency margin capture: 6%+ on managed media</w:t>
      </w:r>
    </w:p>
    <w:p>
      <w:pPr>
        <w:pStyle w:val="Compact"/>
        <w:numPr>
          <w:ilvl w:val="0"/>
          <w:numId w:val="1001"/>
        </w:numPr>
      </w:pPr>
      <w:r>
        <w:t xml:space="preserve">Direct client licensing potential</w:t>
      </w:r>
    </w:p>
    <w:p>
      <w:pPr>
        <w:pStyle w:val="Compact"/>
        <w:numPr>
          <w:ilvl w:val="0"/>
          <w:numId w:val="1001"/>
        </w:numPr>
      </w:pPr>
      <w:r>
        <w:t xml:space="preserve">Embedded Mastercard data product sales (Audiences, SpendingPulse, Commerce Media)</w:t>
      </w:r>
    </w:p>
    <w:bookmarkEnd w:id="13"/>
    <w:bookmarkStart w:id="14" w:name="strategic-positioning"/>
    <w:p>
      <w:pPr>
        <w:pStyle w:val="Heading3"/>
      </w:pPr>
      <w:r>
        <w:t xml:space="preserve">Strategic Positioning</w:t>
      </w:r>
    </w:p>
    <w:p>
      <w:pPr>
        <w:pStyle w:val="Compact"/>
        <w:numPr>
          <w:ilvl w:val="0"/>
          <w:numId w:val="1002"/>
        </w:numPr>
      </w:pPr>
      <w:r>
        <w:t xml:space="preserve">Establishes Mastercard as essential AI infrastructure in enterprise marketing</w:t>
      </w:r>
    </w:p>
    <w:p>
      <w:pPr>
        <w:pStyle w:val="Compact"/>
        <w:numPr>
          <w:ilvl w:val="0"/>
          <w:numId w:val="1002"/>
        </w:numPr>
      </w:pPr>
      <w:r>
        <w:t xml:space="preserve">Configuration-driven expansion deploys new capabilities in weeks, not months</w:t>
      </w:r>
    </w:p>
    <w:p>
      <w:pPr>
        <w:pStyle w:val="Compact"/>
        <w:numPr>
          <w:ilvl w:val="0"/>
          <w:numId w:val="1002"/>
        </w:numPr>
      </w:pPr>
      <w:r>
        <w:t xml:space="preserve">Full enterprise security compliance (DLP-approved, no external connectivity)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proof-point"/>
    <w:p>
      <w:pPr>
        <w:pStyle w:val="Heading2"/>
      </w:pPr>
      <w:r>
        <w:t xml:space="preserve">THE PROOF POINT</w:t>
      </w:r>
    </w:p>
    <w:p>
      <w:pPr>
        <w:pStyle w:val="FirstParagraph"/>
      </w:pPr>
      <w:r>
        <w:rPr>
          <w:b/>
          <w:bCs/>
        </w:rPr>
        <w:t xml:space="preserve">If one person built this—imagine what Mastercard could build with its full resources.</w:t>
      </w:r>
    </w:p>
    <w:p>
      <w:pPr>
        <w:pStyle w:val="BodyText"/>
      </w:pPr>
      <w:r>
        <w:t xml:space="preserve">What exists today is not a prototype. It is a production-ready platform that demonstrates:</w:t>
      </w:r>
    </w:p>
    <w:p>
      <w:pPr>
        <w:pStyle w:val="Compact"/>
        <w:numPr>
          <w:ilvl w:val="0"/>
          <w:numId w:val="1003"/>
        </w:numPr>
      </w:pPr>
      <w:r>
        <w:t xml:space="preserve">Enterprise AI agents can be built rapidly within corporate constraints</w:t>
      </w:r>
    </w:p>
    <w:p>
      <w:pPr>
        <w:pStyle w:val="Compact"/>
        <w:numPr>
          <w:ilvl w:val="0"/>
          <w:numId w:val="1003"/>
        </w:numPr>
      </w:pPr>
      <w:r>
        <w:t xml:space="preserve">Security and compliance need not slow innovation</w:t>
      </w:r>
    </w:p>
    <w:p>
      <w:pPr>
        <w:pStyle w:val="Compact"/>
        <w:numPr>
          <w:ilvl w:val="0"/>
          <w:numId w:val="1003"/>
        </w:numPr>
      </w:pPr>
      <w:r>
        <w:t xml:space="preserve">The architecture scales to any knowledge domain (fraud, treasury, CX, consulting)</w:t>
      </w:r>
    </w:p>
    <w:p>
      <w:r>
        <w:pict>
          <v:rect style="width:0;height:1.5pt" o:hralign="center" o:hrstd="t" o:hr="t"/>
        </w:pict>
      </w:r>
    </w:p>
    <w:bookmarkEnd w:id="16"/>
    <w:bookmarkStart w:id="17" w:name="revenue-impact-potential"/>
    <w:p>
      <w:pPr>
        <w:pStyle w:val="Heading2"/>
      </w:pPr>
      <w:r>
        <w:t xml:space="preserve">REVENUE IMPACT POTENTIAL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$2.0 - 3.5B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$1.2 - 2.5B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$1.0 - 1.8B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$1.5 - 2.5B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$0.5 - 1.0B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Addressable 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$6.7 - 12.3B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commended-next-steps"/>
    <w:p>
      <w:pPr>
        <w:pStyle w:val="Heading2"/>
      </w:pPr>
      <w:r>
        <w:t xml:space="preserve">RECOMMENDED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Demo</w:t>
            </w:r>
            <w:r>
              <w:t xml:space="preserve"> </w:t>
            </w:r>
            <w:r>
              <w:t xml:space="preserve">- See MCMAP in action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Assessment</w:t>
            </w:r>
            <w:r>
              <w:t xml:space="preserve"> </w:t>
            </w:r>
            <w:r>
              <w:t xml:space="preserve">- Map to existing workflows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Selection</w:t>
            </w:r>
            <w:r>
              <w:t xml:space="preserve"> </w:t>
            </w:r>
            <w:r>
              <w:t xml:space="preserve">- Identify first deployment team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Planning</w:t>
            </w:r>
            <w:r>
              <w:t xml:space="preserve"> </w:t>
            </w:r>
            <w:r>
              <w:t xml:space="preserve">- Resource allocation for expansion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tact"/>
    <w:p>
      <w:pPr>
        <w:pStyle w:val="Heading2"/>
      </w:pPr>
      <w:r>
        <w:t xml:space="preserve">CONTACT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Platform Owner &amp; Lead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kevin.bauer@mastercard.com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detailed technical documentation, see the complete MCMAP Reference Packet (Documents 01-10)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2026-01-24T16:44:22Z</dcterms:created>
  <dcterms:modified xsi:type="dcterms:W3CDTF">2026-01-24T16:44:22Z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