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Architecture Deep Dive</w:t>
      </w:r>
    </w:p>
    <w:p>
      <w:pPr>
        <w:spacing w:after="200"/>
      </w:pPr>
      <w:r>
        <w:rPr>
          <w:i/>
          <w:iCs/>
          <w:color w:val="666666"/>
        </w:rPr>
        <w:t xml:space="preserve">Document 2 of 9 | Technical Architecture Reference for Solution Architects</w:t>
      </w:r>
    </w:p>
    <w:p>
      <w:pPr>
        <w:pStyle w:val="Heading2"/>
      </w:pPr>
      <w:r>
        <w:t xml:space="preserve">1. System Overview</w:t>
      </w:r>
    </w:p>
    <w:p>
      <w:pPr>
        <w:spacing w:after="200"/>
      </w:pPr>
      <w:r>
        <w:t xml:space="preserve">The Mastercard Agent Platform implements a three-agent architecture built on Microsoft's enterprise technology stack. The platform consists of the Media Planning Agent (MPA), Consulting Agent (CA), and Enterprise AI Platform (EAP), all sharing common infrastructure while maintaining domain-specific functionality.</w:t>
      </w:r>
    </w:p>
    <w:p>
      <w:pPr>
        <w:pStyle w:val="Heading3"/>
      </w:pPr>
      <w:r>
        <w:t xml:space="preserve">1.1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1"/>
              <w:left w:val="single" w:color="CCCCCC" w:sz="1"/>
              <w:bottom w:val="single" w:color="CCCCCC" w:sz="1"/>
              <w:right w:val="single" w:color="CCCCCC" w:sz="1"/>
            </w:tcBorders>
            <w:shd w:fill="1B4F72" w:val="clear"/>
          </w:tcPr>
          <w:p>
            <w:r>
              <w:rPr>
                <w:b/>
                <w:bCs/>
                <w:color w:val="FFFFFF"/>
              </w:rPr>
              <w:t xml:space="preserve">Layer</w:t>
            </w:r>
          </w:p>
        </w:tc>
        <w:tc>
          <w:tcPr>
            <w:tcW w:type="pct" w:w="35%"/>
            <w:tcBorders>
              <w:top w:val="single" w:color="CCCCCC" w:sz="1"/>
              <w:left w:val="single" w:color="CCCCCC" w:sz="1"/>
              <w:bottom w:val="single" w:color="CCCCCC" w:sz="1"/>
              <w:right w:val="single" w:color="CCCCCC" w:sz="1"/>
            </w:tcBorders>
            <w:shd w:fill="1B4F72" w:val="clear"/>
          </w:tcPr>
          <w:p>
            <w:r>
              <w:rPr>
                <w:b/>
                <w:bCs/>
                <w:color w:val="FFFFFF"/>
              </w:rPr>
              <w:t xml:space="preserve">Technology</w:t>
            </w:r>
          </w:p>
        </w:tc>
        <w:tc>
          <w:tcPr>
            <w:tcW w:type="pct" w:w="35%"/>
            <w:tcBorders>
              <w:top w:val="single" w:color="CCCCCC" w:sz="1"/>
              <w:left w:val="single" w:color="CCCCCC" w:sz="1"/>
              <w:bottom w:val="single" w:color="CCCCCC" w:sz="1"/>
              <w:right w:val="single" w:color="CCCCCC" w:sz="1"/>
            </w:tcBorders>
            <w:shd w:fill="1B4F72"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t xml:space="preserve">Conversational AI</w:t>
            </w:r>
          </w:p>
        </w:tc>
        <w:tc>
          <w:tcPr>
            <w:tcBorders>
              <w:top w:val="single" w:color="CCCCCC" w:sz="1"/>
              <w:left w:val="single" w:color="CCCCCC" w:sz="1"/>
              <w:bottom w:val="single" w:color="CCCCCC" w:sz="1"/>
              <w:right w:val="single" w:color="CCCCCC" w:sz="1"/>
            </w:tcBorders>
          </w:tcPr>
          <w:p>
            <w:r>
              <w:t xml:space="preserve">Microsoft Copilot Studio</w:t>
            </w:r>
          </w:p>
        </w:tc>
        <w:tc>
          <w:tcPr>
            <w:tcBorders>
              <w:top w:val="single" w:color="CCCCCC" w:sz="1"/>
              <w:left w:val="single" w:color="CCCCCC" w:sz="1"/>
              <w:bottom w:val="single" w:color="CCCCCC" w:sz="1"/>
              <w:right w:val="single" w:color="CCCCCC" w:sz="1"/>
            </w:tcBorders>
          </w:tcPr>
          <w:p>
            <w:r>
              <w:t xml:space="preserve">Agent orchestration, NLU, conversation management</w:t>
            </w:r>
          </w:p>
        </w:tc>
      </w:tr>
      <w:tr>
        <w:tc>
          <w:tcPr>
            <w:tcBorders>
              <w:top w:val="single" w:color="CCCCCC" w:sz="1"/>
              <w:left w:val="single" w:color="CCCCCC" w:sz="1"/>
              <w:bottom w:val="single" w:color="CCCCCC" w:sz="1"/>
              <w:right w:val="single" w:color="CCCCCC" w:sz="1"/>
            </w:tcBorders>
            <w:shd w:fill="F8F9FA" w:val="clear"/>
          </w:tcPr>
          <w:p>
            <w:r>
              <w:t xml:space="preserve">LLM Backend</w:t>
            </w:r>
          </w:p>
        </w:tc>
        <w:tc>
          <w:tcPr>
            <w:tcBorders>
              <w:top w:val="single" w:color="CCCCCC" w:sz="1"/>
              <w:left w:val="single" w:color="CCCCCC" w:sz="1"/>
              <w:bottom w:val="single" w:color="CCCCCC" w:sz="1"/>
              <w:right w:val="single" w:color="CCCCCC" w:sz="1"/>
            </w:tcBorders>
            <w:shd w:fill="F8F9FA" w:val="clear"/>
          </w:tcPr>
          <w:p>
            <w:r>
              <w:t xml:space="preserve">Azure OpenAI (GPT-4)</w:t>
            </w:r>
          </w:p>
        </w:tc>
        <w:tc>
          <w:tcPr>
            <w:tcBorders>
              <w:top w:val="single" w:color="CCCCCC" w:sz="1"/>
              <w:left w:val="single" w:color="CCCCCC" w:sz="1"/>
              <w:bottom w:val="single" w:color="CCCCCC" w:sz="1"/>
              <w:right w:val="single" w:color="CCCCCC" w:sz="1"/>
            </w:tcBorders>
            <w:shd w:fill="F8F9FA" w:val="clear"/>
          </w:tcPr>
          <w:p>
            <w:r>
              <w:t xml:space="preserve">Natural language generation, reasoning</w:t>
            </w:r>
          </w:p>
        </w:tc>
      </w:tr>
      <w:tr>
        <w:tc>
          <w:tcPr>
            <w:tcBorders>
              <w:top w:val="single" w:color="CCCCCC" w:sz="1"/>
              <w:left w:val="single" w:color="CCCCCC" w:sz="1"/>
              <w:bottom w:val="single" w:color="CCCCCC" w:sz="1"/>
              <w:right w:val="single" w:color="CCCCCC" w:sz="1"/>
            </w:tcBorders>
          </w:tcPr>
          <w:p>
            <w:r>
              <w:t xml:space="preserve">Data Layer</w:t>
            </w:r>
          </w:p>
        </w:tc>
        <w:tc>
          <w:tcPr>
            <w:tcBorders>
              <w:top w:val="single" w:color="CCCCCC" w:sz="1"/>
              <w:left w:val="single" w:color="CCCCCC" w:sz="1"/>
              <w:bottom w:val="single" w:color="CCCCCC" w:sz="1"/>
              <w:right w:val="single" w:color="CCCCCC" w:sz="1"/>
            </w:tcBorders>
          </w:tcPr>
          <w:p>
            <w:r>
              <w:t xml:space="preserve">Microsoft Dataverse</w:t>
            </w:r>
          </w:p>
        </w:tc>
        <w:tc>
          <w:tcPr>
            <w:tcBorders>
              <w:top w:val="single" w:color="CCCCCC" w:sz="1"/>
              <w:left w:val="single" w:color="CCCCCC" w:sz="1"/>
              <w:bottom w:val="single" w:color="CCCCCC" w:sz="1"/>
              <w:right w:val="single" w:color="CCCCCC" w:sz="1"/>
            </w:tcBorders>
          </w:tcPr>
          <w:p>
            <w:r>
              <w:t xml:space="preserve">Relational storage, row-level security</w:t>
            </w:r>
          </w:p>
        </w:tc>
      </w:tr>
      <w:tr>
        <w:tc>
          <w:tcPr>
            <w:tcBorders>
              <w:top w:val="single" w:color="CCCCCC" w:sz="1"/>
              <w:left w:val="single" w:color="CCCCCC" w:sz="1"/>
              <w:bottom w:val="single" w:color="CCCCCC" w:sz="1"/>
              <w:right w:val="single" w:color="CCCCCC" w:sz="1"/>
            </w:tcBorders>
            <w:shd w:fill="F8F9FA" w:val="clear"/>
          </w:tcPr>
          <w:p>
            <w:r>
              <w:t xml:space="preserve">Integration</w:t>
            </w:r>
          </w:p>
        </w:tc>
        <w:tc>
          <w:tcPr>
            <w:tcBorders>
              <w:top w:val="single" w:color="CCCCCC" w:sz="1"/>
              <w:left w:val="single" w:color="CCCCCC" w:sz="1"/>
              <w:bottom w:val="single" w:color="CCCCCC" w:sz="1"/>
              <w:right w:val="single" w:color="CCCCCC" w:sz="1"/>
            </w:tcBorders>
            <w:shd w:fill="F8F9FA" w:val="clear"/>
          </w:tcPr>
          <w:p>
            <w:r>
              <w:t xml:space="preserve">Power Automate</w:t>
            </w:r>
          </w:p>
        </w:tc>
        <w:tc>
          <w:tcPr>
            <w:tcBorders>
              <w:top w:val="single" w:color="CCCCCC" w:sz="1"/>
              <w:left w:val="single" w:color="CCCCCC" w:sz="1"/>
              <w:bottom w:val="single" w:color="CCCCCC" w:sz="1"/>
              <w:right w:val="single" w:color="CCCCCC" w:sz="1"/>
            </w:tcBorders>
            <w:shd w:fill="F8F9FA" w:val="clear"/>
          </w:tcPr>
          <w:p>
            <w:r>
              <w:t xml:space="preserve">Workflow orchestration, API endpoints</w:t>
            </w:r>
          </w:p>
        </w:tc>
      </w:tr>
      <w:tr>
        <w:tc>
          <w:tcPr>
            <w:tcBorders>
              <w:top w:val="single" w:color="CCCCCC" w:sz="1"/>
              <w:left w:val="single" w:color="CCCCCC" w:sz="1"/>
              <w:bottom w:val="single" w:color="CCCCCC" w:sz="1"/>
              <w:right w:val="single" w:color="CCCCCC" w:sz="1"/>
            </w:tcBorders>
          </w:tcPr>
          <w:p>
            <w:r>
              <w:t xml:space="preserve">Knowledge Store</w:t>
            </w:r>
          </w:p>
        </w:tc>
        <w:tc>
          <w:tcPr>
            <w:tcBorders>
              <w:top w:val="single" w:color="CCCCCC" w:sz="1"/>
              <w:left w:val="single" w:color="CCCCCC" w:sz="1"/>
              <w:bottom w:val="single" w:color="CCCCCC" w:sz="1"/>
              <w:right w:val="single" w:color="CCCCCC" w:sz="1"/>
            </w:tcBorders>
          </w:tcPr>
          <w:p>
            <w:r>
              <w:t xml:space="preserve">SharePoint + Azure AI Search</w:t>
            </w:r>
          </w:p>
        </w:tc>
        <w:tc>
          <w:tcPr>
            <w:tcBorders>
              <w:top w:val="single" w:color="CCCCCC" w:sz="1"/>
              <w:left w:val="single" w:color="CCCCCC" w:sz="1"/>
              <w:bottom w:val="single" w:color="CCCCCC" w:sz="1"/>
              <w:right w:val="single" w:color="CCCCCC" w:sz="1"/>
            </w:tcBorders>
          </w:tcPr>
          <w:p>
            <w:r>
              <w:t xml:space="preserve">Document hosting, semantic search</w:t>
            </w:r>
          </w:p>
        </w:tc>
      </w:tr>
      <w:tr>
        <w:tc>
          <w:tcPr>
            <w:tcBorders>
              <w:top w:val="single" w:color="CCCCCC" w:sz="1"/>
              <w:left w:val="single" w:color="CCCCCC" w:sz="1"/>
              <w:bottom w:val="single" w:color="CCCCCC" w:sz="1"/>
              <w:right w:val="single" w:color="CCCCCC" w:sz="1"/>
            </w:tcBorders>
            <w:shd w:fill="F8F9FA" w:val="clear"/>
          </w:tcPr>
          <w:p>
            <w:r>
              <w:t xml:space="preserve">Authentication</w:t>
            </w:r>
          </w:p>
        </w:tc>
        <w:tc>
          <w:tcPr>
            <w:tcBorders>
              <w:top w:val="single" w:color="CCCCCC" w:sz="1"/>
              <w:left w:val="single" w:color="CCCCCC" w:sz="1"/>
              <w:bottom w:val="single" w:color="CCCCCC" w:sz="1"/>
              <w:right w:val="single" w:color="CCCCCC" w:sz="1"/>
            </w:tcBorders>
            <w:shd w:fill="F8F9FA" w:val="clear"/>
          </w:tcPr>
          <w:p>
            <w:r>
              <w:t xml:space="preserve">Microsoft Entra ID</w:t>
            </w:r>
          </w:p>
        </w:tc>
        <w:tc>
          <w:tcPr>
            <w:tcBorders>
              <w:top w:val="single" w:color="CCCCCC" w:sz="1"/>
              <w:left w:val="single" w:color="CCCCCC" w:sz="1"/>
              <w:bottom w:val="single" w:color="CCCCCC" w:sz="1"/>
              <w:right w:val="single" w:color="CCCCCC" w:sz="1"/>
            </w:tcBorders>
            <w:shd w:fill="F8F9FA" w:val="clear"/>
          </w:tcPr>
          <w:p>
            <w:r>
              <w:t xml:space="preserve">SSO, identity management</w:t>
            </w:r>
          </w:p>
        </w:tc>
      </w:tr>
      <w:tr>
        <w:tc>
          <w:tcPr>
            <w:tcBorders>
              <w:top w:val="single" w:color="CCCCCC" w:sz="1"/>
              <w:left w:val="single" w:color="CCCCCC" w:sz="1"/>
              <w:bottom w:val="single" w:color="CCCCCC" w:sz="1"/>
              <w:right w:val="single" w:color="CCCCCC" w:sz="1"/>
            </w:tcBorders>
          </w:tcPr>
          <w:p>
            <w:r>
              <w:t xml:space="preserve">Compute</w:t>
            </w:r>
          </w:p>
        </w:tc>
        <w:tc>
          <w:tcPr>
            <w:tcBorders>
              <w:top w:val="single" w:color="CCCCCC" w:sz="1"/>
              <w:left w:val="single" w:color="CCCCCC" w:sz="1"/>
              <w:bottom w:val="single" w:color="CCCCCC" w:sz="1"/>
              <w:right w:val="single" w:color="CCCCCC" w:sz="1"/>
            </w:tcBorders>
          </w:tcPr>
          <w:p>
            <w:r>
              <w:t xml:space="preserve">Azure Functions</w:t>
            </w:r>
          </w:p>
        </w:tc>
        <w:tc>
          <w:tcPr>
            <w:tcBorders>
              <w:top w:val="single" w:color="CCCCCC" w:sz="1"/>
              <w:left w:val="single" w:color="CCCCCC" w:sz="1"/>
              <w:bottom w:val="single" w:color="CCCCCC" w:sz="1"/>
              <w:right w:val="single" w:color="CCCCCC" w:sz="1"/>
            </w:tcBorders>
          </w:tcPr>
          <w:p>
            <w:r>
              <w:t xml:space="preserve">Serverless compute for document generation</w:t>
            </w:r>
          </w:p>
        </w:tc>
      </w:tr>
    </w:tbl>
    <w:p>
      <w:r>
        <w:br w:type="page"/>
      </w:r>
    </w:p>
    <w:p>
      <w:pPr>
        <w:pStyle w:val="Heading2"/>
      </w:pPr>
      <w:r>
        <w:t xml:space="preserve">2. Three-Agent Architecture</w:t>
      </w:r>
    </w:p>
    <w:p>
      <w:pPr>
        <w:spacing w:after="200"/>
      </w:pPr>
      <w:r>
        <w:t xml:space="preserve">The platform implements a modular agent architecture where each agent serves a specific domain while sharing common platform services through the Enterprise AI Platform (EAP).</w:t>
      </w:r>
    </w:p>
    <w:p>
      <w:pPr>
        <w:pStyle w:val="Heading3"/>
      </w:pPr>
      <w:r>
        <w:t xml:space="preserve">2.1 Agent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CCCCC" w:sz="1"/>
              <w:left w:val="single" w:color="CCCCCC" w:sz="1"/>
              <w:bottom w:val="single" w:color="CCCCCC" w:sz="1"/>
              <w:right w:val="single" w:color="CCCCCC" w:sz="1"/>
            </w:tcBorders>
            <w:shd w:fill="1B4F72" w:val="clear"/>
          </w:tcPr>
          <w:p>
            <w:r>
              <w:rPr>
                <w:b/>
                <w:bCs/>
                <w:color w:val="FFFFFF"/>
              </w:rPr>
              <w:t xml:space="preserve">Agent</w:t>
            </w:r>
          </w:p>
        </w:tc>
        <w:tc>
          <w:tcPr>
            <w:tcW w:type="pct" w:w="15%"/>
            <w:tcBorders>
              <w:top w:val="single" w:color="CCCCCC" w:sz="1"/>
              <w:left w:val="single" w:color="CCCCCC" w:sz="1"/>
              <w:bottom w:val="single" w:color="CCCCCC" w:sz="1"/>
              <w:right w:val="single" w:color="CCCCCC" w:sz="1"/>
            </w:tcBorders>
            <w:shd w:fill="1B4F72" w:val="clear"/>
          </w:tcPr>
          <w:p>
            <w:r>
              <w:rPr>
                <w:b/>
                <w:bCs/>
                <w:color w:val="FFFFFF"/>
              </w:rPr>
              <w:t xml:space="preserve">Version</w:t>
            </w:r>
          </w:p>
        </w:tc>
        <w:tc>
          <w:tcPr>
            <w:tcW w:type="pct" w:w="15%"/>
            <w:tcBorders>
              <w:top w:val="single" w:color="CCCCCC" w:sz="1"/>
              <w:left w:val="single" w:color="CCCCCC" w:sz="1"/>
              <w:bottom w:val="single" w:color="CCCCCC" w:sz="1"/>
              <w:right w:val="single" w:color="CCCCCC" w:sz="1"/>
            </w:tcBorders>
            <w:shd w:fill="1B4F72" w:val="clear"/>
          </w:tcPr>
          <w:p>
            <w:r>
              <w:rPr>
                <w:b/>
                <w:bCs/>
                <w:color w:val="FFFFFF"/>
              </w:rPr>
              <w:t xml:space="preserve">Status</w:t>
            </w:r>
          </w:p>
        </w:tc>
        <w:tc>
          <w:tcPr>
            <w:tcW w:type="pct" w:w="50%"/>
            <w:tcBorders>
              <w:top w:val="single" w:color="CCCCCC" w:sz="1"/>
              <w:left w:val="single" w:color="CCCCCC" w:sz="1"/>
              <w:bottom w:val="single" w:color="CCCCCC" w:sz="1"/>
              <w:right w:val="single" w:color="CCCCCC" w:sz="1"/>
            </w:tcBorders>
            <w:shd w:fill="1B4F72"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rPr>
                <w:b/>
                <w:bCs/>
              </w:rPr>
              <w:t xml:space="preserve">Media Planning Agent (MPA)</w:t>
            </w:r>
          </w:p>
        </w:tc>
        <w:tc>
          <w:tcPr>
            <w:tcBorders>
              <w:top w:val="single" w:color="CCCCCC" w:sz="1"/>
              <w:left w:val="single" w:color="CCCCCC" w:sz="1"/>
              <w:bottom w:val="single" w:color="CCCCCC" w:sz="1"/>
              <w:right w:val="single" w:color="CCCCCC" w:sz="1"/>
            </w:tcBorders>
          </w:tcPr>
          <w:p>
            <w:r>
              <w:t xml:space="preserve">v5.7</w:t>
            </w:r>
          </w:p>
        </w:tc>
        <w:tc>
          <w:tcPr>
            <w:tcBorders>
              <w:top w:val="single" w:color="CCCCCC" w:sz="1"/>
              <w:left w:val="single" w:color="CCCCCC" w:sz="1"/>
              <w:bottom w:val="single" w:color="CCCCCC" w:sz="1"/>
              <w:right w:val="single" w:color="CCCCCC" w:sz="1"/>
            </w:tcBorders>
          </w:tcPr>
          <w:p>
            <w:r>
              <w:rPr>
                <w:color w:val="27AE60"/>
              </w:rPr>
              <w:t xml:space="preserve">Production</w:t>
            </w:r>
          </w:p>
        </w:tc>
        <w:tc>
          <w:tcPr>
            <w:tcBorders>
              <w:top w:val="single" w:color="CCCCCC" w:sz="1"/>
              <w:left w:val="single" w:color="CCCCCC" w:sz="1"/>
              <w:bottom w:val="single" w:color="CCCCCC" w:sz="1"/>
              <w:right w:val="single" w:color="CCCCCC" w:sz="1"/>
            </w:tcBorders>
          </w:tcPr>
          <w:p>
            <w:r>
              <w:t xml:space="preserve">Guided 10-step media planning workflow with proactive intelligence, benchmarking, and teaching behaviors</w:t>
            </w:r>
          </w:p>
        </w:tc>
      </w:tr>
      <w:tr>
        <w:tc>
          <w:tcPr>
            <w:tcBorders>
              <w:top w:val="single" w:color="CCCCCC" w:sz="1"/>
              <w:left w:val="single" w:color="CCCCCC" w:sz="1"/>
              <w:bottom w:val="single" w:color="CCCCCC" w:sz="1"/>
              <w:right w:val="single" w:color="CCCCCC" w:sz="1"/>
            </w:tcBorders>
            <w:shd w:fill="F8F9FA" w:val="clear"/>
          </w:tcPr>
          <w:p>
            <w:r>
              <w:rPr>
                <w:b/>
                <w:bCs/>
              </w:rPr>
              <w:t xml:space="preserve">Consulting Agent (CA)</w:t>
            </w:r>
          </w:p>
        </w:tc>
        <w:tc>
          <w:tcPr>
            <w:tcBorders>
              <w:top w:val="single" w:color="CCCCCC" w:sz="1"/>
              <w:left w:val="single" w:color="CCCCCC" w:sz="1"/>
              <w:bottom w:val="single" w:color="CCCCCC" w:sz="1"/>
              <w:right w:val="single" w:color="CCCCCC" w:sz="1"/>
            </w:tcBorders>
            <w:shd w:fill="F8F9FA" w:val="clear"/>
          </w:tcPr>
          <w:p>
            <w:r>
              <w:t xml:space="preserve">v1.0</w:t>
            </w:r>
          </w:p>
        </w:tc>
        <w:tc>
          <w:tcPr>
            <w:tcBorders>
              <w:top w:val="single" w:color="CCCCCC" w:sz="1"/>
              <w:left w:val="single" w:color="CCCCCC" w:sz="1"/>
              <w:bottom w:val="single" w:color="CCCCCC" w:sz="1"/>
              <w:right w:val="single" w:color="CCCCCC" w:sz="1"/>
            </w:tcBorders>
            <w:shd w:fill="F8F9FA" w:val="clear"/>
          </w:tcPr>
          <w:p>
            <w:r>
              <w:rPr>
                <w:color w:val="F39C12"/>
              </w:rPr>
              <w:t xml:space="preserve">Development</w:t>
            </w:r>
          </w:p>
        </w:tc>
        <w:tc>
          <w:tcPr>
            <w:tcBorders>
              <w:top w:val="single" w:color="CCCCCC" w:sz="1"/>
              <w:left w:val="single" w:color="CCCCCC" w:sz="1"/>
              <w:bottom w:val="single" w:color="CCCCCC" w:sz="1"/>
              <w:right w:val="single" w:color="CCCCCC" w:sz="1"/>
            </w:tcBorders>
            <w:shd w:fill="F8F9FA" w:val="clear"/>
          </w:tcPr>
          <w:p>
            <w:r>
              <w:t xml:space="preserve">Strategic consulting for media strategy, market analysis, and competitive intelligence</w:t>
            </w:r>
          </w:p>
        </w:tc>
      </w:tr>
      <w:tr>
        <w:tc>
          <w:tcPr>
            <w:tcBorders>
              <w:top w:val="single" w:color="CCCCCC" w:sz="1"/>
              <w:left w:val="single" w:color="CCCCCC" w:sz="1"/>
              <w:bottom w:val="single" w:color="CCCCCC" w:sz="1"/>
              <w:right w:val="single" w:color="CCCCCC" w:sz="1"/>
            </w:tcBorders>
          </w:tcPr>
          <w:p>
            <w:r>
              <w:rPr>
                <w:b/>
                <w:bCs/>
              </w:rPr>
              <w:t xml:space="preserve">Enterprise AI Platform (EAP)</w:t>
            </w:r>
          </w:p>
        </w:tc>
        <w:tc>
          <w:tcPr>
            <w:tcBorders>
              <w:top w:val="single" w:color="CCCCCC" w:sz="1"/>
              <w:left w:val="single" w:color="CCCCCC" w:sz="1"/>
              <w:bottom w:val="single" w:color="CCCCCC" w:sz="1"/>
              <w:right w:val="single" w:color="CCCCCC" w:sz="1"/>
            </w:tcBorders>
          </w:tcPr>
          <w:p>
            <w:r>
              <w:t xml:space="preserve">v10</w:t>
            </w:r>
          </w:p>
        </w:tc>
        <w:tc>
          <w:tcPr>
            <w:tcBorders>
              <w:top w:val="single" w:color="CCCCCC" w:sz="1"/>
              <w:left w:val="single" w:color="CCCCCC" w:sz="1"/>
              <w:bottom w:val="single" w:color="CCCCCC" w:sz="1"/>
              <w:right w:val="single" w:color="CCCCCC" w:sz="1"/>
            </w:tcBorders>
          </w:tcPr>
          <w:p>
            <w:r>
              <w:rPr>
                <w:color w:val="27AE60"/>
              </w:rPr>
              <w:t xml:space="preserve">Production</w:t>
            </w:r>
          </w:p>
        </w:tc>
        <w:tc>
          <w:tcPr>
            <w:tcBorders>
              <w:top w:val="single" w:color="CCCCCC" w:sz="1"/>
              <w:left w:val="single" w:color="CCCCCC" w:sz="1"/>
              <w:bottom w:val="single" w:color="CCCCCC" w:sz="1"/>
              <w:right w:val="single" w:color="CCCCCC" w:sz="1"/>
            </w:tcBorders>
          </w:tcPr>
          <w:p>
            <w:r>
              <w:t xml:space="preserve">Shared infrastructure: sessions, users, clients, audit logging, learning systems, feature flags</w:t>
            </w:r>
          </w:p>
        </w:tc>
      </w:tr>
    </w:tbl>
    <w:p>
      <w:pPr>
        <w:pStyle w:val="Heading3"/>
      </w:pPr>
      <w:r>
        <w:t xml:space="preserve">2.2 Agent Interaction Model</w:t>
      </w:r>
    </w:p>
    <w:p>
      <w:pPr>
        <w:spacing w:after="200"/>
      </w:pPr>
      <w:r>
        <w:t xml:space="preserve">Each agent operates independently but shares common platform services through EAP. The architecture follows the principle of 'Lean Orchestration + Rich Knowledge' where core agent instructions stay under the 8,000 character Copilot Studio limit while comprehensive guidance resides in the searchable knowledge base.</w:t>
      </w:r>
    </w:p>
    <w:p>
      <w:pPr>
        <w:spacing w:after="200"/>
      </w:pPr>
      <w:r>
        <w:rPr>
          <w:b/>
          <w:bCs/>
        </w:rPr>
        <w:t xml:space="preserve">Key Architectural Principles:</w:t>
      </w:r>
    </w:p>
    <w:p>
      <w:pPr>
        <w:spacing w:after="100"/>
      </w:pPr>
      <w:r>
        <w:t xml:space="preserve">• </w:t>
      </w:r>
      <w:r>
        <w:rPr>
          <w:b/>
          <w:bCs/>
        </w:rPr>
        <w:t xml:space="preserve">Session Isolation: </w:t>
      </w:r>
      <w:r>
        <w:t xml:space="preserve">Each user session is completely isolated, preventing cross-contamination of data or context between users</w:t>
      </w:r>
    </w:p>
    <w:p>
      <w:pPr>
        <w:spacing w:after="100"/>
      </w:pPr>
      <w:r>
        <w:t xml:space="preserve">• </w:t>
      </w:r>
      <w:r>
        <w:rPr>
          <w:b/>
          <w:bCs/>
        </w:rPr>
        <w:t xml:space="preserve">Data Provenance: </w:t>
      </w:r>
      <w:r>
        <w:t xml:space="preserve">All data points are tracked with their source (User Input, Knowledge Base, Web Search, API Call, Benchmark)</w:t>
      </w:r>
    </w:p>
    <w:p>
      <w:pPr>
        <w:spacing w:after="100"/>
      </w:pPr>
      <w:r>
        <w:t xml:space="preserve">• </w:t>
      </w:r>
      <w:r>
        <w:rPr>
          <w:b/>
          <w:bCs/>
        </w:rPr>
        <w:t xml:space="preserve">Extension Architecture: </w:t>
      </w:r>
      <w:r>
        <w:t xml:space="preserve">Corporate customizations (like Mastercard extensions) ADD functionality without modifying base components</w:t>
      </w:r>
    </w:p>
    <w:p>
      <w:pPr>
        <w:spacing w:after="100"/>
      </w:pPr>
      <w:r>
        <w:t xml:space="preserve">• </w:t>
      </w:r>
      <w:r>
        <w:rPr>
          <w:b/>
          <w:bCs/>
        </w:rPr>
        <w:t xml:space="preserve">Feature Flags: </w:t>
      </w:r>
      <w:r>
        <w:t xml:space="preserve">Runtime control over capabilities without code deployment</w:t>
      </w:r>
    </w:p>
    <w:p>
      <w:r>
        <w:br w:type="page"/>
      </w:r>
    </w:p>
    <w:p>
      <w:pPr>
        <w:pStyle w:val="Heading2"/>
      </w:pPr>
      <w:r>
        <w:t xml:space="preserve">3. Data Flow Architecture</w:t>
      </w:r>
    </w:p>
    <w:p>
      <w:pPr>
        <w:pStyle w:val="Heading3"/>
      </w:pPr>
      <w:r>
        <w:t xml:space="preserve">3.1 Request Processing Flow</w:t>
      </w:r>
    </w:p>
    <w:p>
      <w:pPr>
        <w:spacing w:after="200"/>
      </w:pPr>
      <w:r>
        <w:t xml:space="preserve">When a user sends a message, the following flow executes:</w:t>
      </w:r>
    </w:p>
    <w:p>
      <w:pPr>
        <w:spacing w:after="100"/>
      </w:pPr>
      <w:r>
        <w:rPr>
          <w:b/>
          <w:bCs/>
        </w:rPr>
        <w:t xml:space="preserve">1. Authentication: </w:t>
      </w:r>
      <w:r>
        <w:t xml:space="preserve">Entra ID validates user identity and passes claims to Copilot Studio</w:t>
      </w:r>
    </w:p>
    <w:p>
      <w:pPr>
        <w:spacing w:after="100"/>
      </w:pPr>
      <w:r>
        <w:rPr>
          <w:b/>
          <w:bCs/>
        </w:rPr>
        <w:t xml:space="preserve">2. Session Management: </w:t>
      </w:r>
      <w:r>
        <w:t xml:space="preserve">EAP Create Session flow initializes or retrieves existing session from Dataverse</w:t>
      </w:r>
    </w:p>
    <w:p>
      <w:pPr>
        <w:spacing w:after="100"/>
      </w:pPr>
      <w:r>
        <w:rPr>
          <w:b/>
          <w:bCs/>
        </w:rPr>
        <w:t xml:space="preserve">3. Context Assembly: </w:t>
      </w:r>
      <w:r>
        <w:t xml:space="preserve">System prompt + knowledge base search results + conversation history combined</w:t>
      </w:r>
    </w:p>
    <w:p>
      <w:pPr>
        <w:spacing w:after="100"/>
      </w:pPr>
      <w:r>
        <w:rPr>
          <w:b/>
          <w:bCs/>
        </w:rPr>
        <w:t xml:space="preserve">4. LLM Processing: </w:t>
      </w:r>
      <w:r>
        <w:t xml:space="preserve">Azure OpenAI generates response with tool use capability</w:t>
      </w:r>
    </w:p>
    <w:p>
      <w:pPr>
        <w:spacing w:after="100"/>
      </w:pPr>
      <w:r>
        <w:rPr>
          <w:b/>
          <w:bCs/>
        </w:rPr>
        <w:t xml:space="preserve">5. Tool Execution: </w:t>
      </w:r>
      <w:r>
        <w:t xml:space="preserve">Power Automate flows execute Dataverse queries, benchmark lookups, or external calls</w:t>
      </w:r>
    </w:p>
    <w:p>
      <w:pPr>
        <w:spacing w:after="100"/>
      </w:pPr>
      <w:r>
        <w:rPr>
          <w:b/>
          <w:bCs/>
        </w:rPr>
        <w:t xml:space="preserve">6. Response Delivery: </w:t>
      </w:r>
      <w:r>
        <w:t xml:space="preserve">Final response returned to user with optional self-critique validation</w:t>
      </w:r>
    </w:p>
    <w:p>
      <w:pPr>
        <w:spacing w:after="100"/>
      </w:pPr>
      <w:r>
        <w:rPr>
          <w:b/>
          <w:bCs/>
        </w:rPr>
        <w:t xml:space="preserve">7. Audit Logging: </w:t>
      </w:r>
      <w:r>
        <w:t xml:space="preserve">All interactions logged to eap_audit table for compliance and analysis</w:t>
      </w:r>
    </w:p>
    <w:p>
      <w:pPr>
        <w:pStyle w:val="Heading3"/>
      </w:pPr>
      <w:r>
        <w:t xml:space="preserve">3.2 Knowledge Base Integration</w:t>
      </w:r>
    </w:p>
    <w:p>
      <w:pPr>
        <w:spacing w:after="200"/>
      </w:pPr>
      <w:r>
        <w:t xml:space="preserve">The platform implements an Agentic RAG (Retrieval-Augmented Generation) system where the agent decides WHEN to retrieve information using tool 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fill="1B4F72" w:val="clear"/>
          </w:tcPr>
          <w:p>
            <w:r>
              <w:rPr>
                <w:b/>
                <w:bCs/>
                <w:color w:val="FFFFFF"/>
              </w:rPr>
              <w:t xml:space="preserve">RAG Tool</w:t>
            </w:r>
          </w:p>
        </w:tc>
        <w:tc>
          <w:tcPr>
            <w:tcW w:type="pct" w:w="70%"/>
            <w:tcBorders>
              <w:top w:val="single" w:color="CCCCCC" w:sz="1"/>
              <w:left w:val="single" w:color="CCCCCC" w:sz="1"/>
              <w:bottom w:val="single" w:color="CCCCCC" w:sz="1"/>
              <w:right w:val="single" w:color="CCCCCC" w:sz="1"/>
            </w:tcBorders>
            <w:shd w:fill="1B4F72"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t xml:space="preserve">search_knowledge_base</w:t>
            </w:r>
          </w:p>
        </w:tc>
        <w:tc>
          <w:tcPr>
            <w:tcBorders>
              <w:top w:val="single" w:color="CCCCCC" w:sz="1"/>
              <w:left w:val="single" w:color="CCCCCC" w:sz="1"/>
              <w:bottom w:val="single" w:color="CCCCCC" w:sz="1"/>
              <w:right w:val="single" w:color="CCCCCC" w:sz="1"/>
            </w:tcBorders>
          </w:tcPr>
          <w:p>
            <w:r>
              <w:t xml:space="preserve">General semantic search across KB documents for frameworks, guidance, and strategic context</w:t>
            </w:r>
          </w:p>
        </w:tc>
      </w:tr>
      <w:tr>
        <w:tc>
          <w:tcPr>
            <w:tcBorders>
              <w:top w:val="single" w:color="CCCCCC" w:sz="1"/>
              <w:left w:val="single" w:color="CCCCCC" w:sz="1"/>
              <w:bottom w:val="single" w:color="CCCCCC" w:sz="1"/>
              <w:right w:val="single" w:color="CCCCCC" w:sz="1"/>
            </w:tcBorders>
            <w:shd w:fill="F8F9FA" w:val="clear"/>
          </w:tcPr>
          <w:p>
            <w:r>
              <w:t xml:space="preserve">get_benchmark</w:t>
            </w:r>
          </w:p>
        </w:tc>
        <w:tc>
          <w:tcPr>
            <w:tcBorders>
              <w:top w:val="single" w:color="CCCCCC" w:sz="1"/>
              <w:left w:val="single" w:color="CCCCCC" w:sz="1"/>
              <w:bottom w:val="single" w:color="CCCCCC" w:sz="1"/>
              <w:right w:val="single" w:color="CCCCCC" w:sz="1"/>
            </w:tcBorders>
            <w:shd w:fill="F8F9FA" w:val="clear"/>
          </w:tcPr>
          <w:p>
            <w:r>
              <w:t xml:space="preserve">Retrieve specific benchmark values by vertical (ecommerce, SaaS, retail) and metric (CAC, LTV, CPM)</w:t>
            </w:r>
          </w:p>
        </w:tc>
      </w:tr>
      <w:tr>
        <w:tc>
          <w:tcPr>
            <w:tcBorders>
              <w:top w:val="single" w:color="CCCCCC" w:sz="1"/>
              <w:left w:val="single" w:color="CCCCCC" w:sz="1"/>
              <w:bottom w:val="single" w:color="CCCCCC" w:sz="1"/>
              <w:right w:val="single" w:color="CCCCCC" w:sz="1"/>
            </w:tcBorders>
          </w:tcPr>
          <w:p>
            <w:r>
              <w:t xml:space="preserve">get_audience_sizing</w:t>
            </w:r>
          </w:p>
        </w:tc>
        <w:tc>
          <w:tcPr>
            <w:tcBorders>
              <w:top w:val="single" w:color="CCCCCC" w:sz="1"/>
              <w:left w:val="single" w:color="CCCCCC" w:sz="1"/>
              <w:bottom w:val="single" w:color="CCCCCC" w:sz="1"/>
              <w:right w:val="single" w:color="CCCCCC" w:sz="1"/>
            </w:tcBorders>
          </w:tcPr>
          <w:p>
            <w:r>
              <w:t xml:space="preserve">Get census-validated audience size estimates with methodology and geographic breakdown</w:t>
            </w:r>
          </w:p>
        </w:tc>
      </w:tr>
    </w:tbl>
    <w:p>
      <w:r>
        <w:br w:type="page"/>
      </w:r>
    </w:p>
    <w:p>
      <w:pPr>
        <w:pStyle w:val="Heading2"/>
      </w:pPr>
      <w:r>
        <w:t xml:space="preserve">4. Integration Points</w:t>
      </w:r>
    </w:p>
    <w:p>
      <w:pPr>
        <w:pStyle w:val="Heading3"/>
      </w:pPr>
      <w:r>
        <w:t xml:space="preserve">4.1 Power Automate Flows</w:t>
      </w:r>
    </w:p>
    <w:p>
      <w:pPr>
        <w:spacing w:after="200"/>
      </w:pPr>
      <w:r>
        <w:t xml:space="preserve">The platform uses 11+ Power Automate flows exposed as HTTP endpoints that the Copilot agent calls via tool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1"/>
              <w:left w:val="single" w:color="CCCCCC" w:sz="1"/>
              <w:bottom w:val="single" w:color="CCCCCC" w:sz="1"/>
              <w:right w:val="single" w:color="CCCCCC" w:sz="1"/>
            </w:tcBorders>
            <w:shd w:fill="1B4F72" w:val="clear"/>
          </w:tcPr>
          <w:p>
            <w:r>
              <w:rPr>
                <w:b/>
                <w:bCs/>
                <w:color w:val="FFFFFF"/>
              </w:rPr>
              <w:t xml:space="preserve">Flow Name</w:t>
            </w:r>
          </w:p>
        </w:tc>
        <w:tc>
          <w:tcPr>
            <w:tcW w:type="pct" w:w="20%"/>
            <w:tcBorders>
              <w:top w:val="single" w:color="CCCCCC" w:sz="1"/>
              <w:left w:val="single" w:color="CCCCCC" w:sz="1"/>
              <w:bottom w:val="single" w:color="CCCCCC" w:sz="1"/>
              <w:right w:val="single" w:color="CCCCCC" w:sz="1"/>
            </w:tcBorders>
            <w:shd w:fill="1B4F72" w:val="clear"/>
          </w:tcPr>
          <w:p>
            <w:r>
              <w:rPr>
                <w:b/>
                <w:bCs/>
                <w:color w:val="FFFFFF"/>
              </w:rPr>
              <w:t xml:space="preserve">Tables</w:t>
            </w:r>
          </w:p>
        </w:tc>
        <w:tc>
          <w:tcPr>
            <w:tcW w:type="pct" w:w="50%"/>
            <w:tcBorders>
              <w:top w:val="single" w:color="CCCCCC" w:sz="1"/>
              <w:left w:val="single" w:color="CCCCCC" w:sz="1"/>
              <w:bottom w:val="single" w:color="CCCCCC" w:sz="1"/>
              <w:right w:val="single" w:color="CCCCCC" w:sz="1"/>
            </w:tcBorders>
            <w:shd w:fill="1B4F72"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t xml:space="preserve">MPA Create Session</w:t>
            </w:r>
          </w:p>
        </w:tc>
        <w:tc>
          <w:tcPr>
            <w:tcBorders>
              <w:top w:val="single" w:color="CCCCCC" w:sz="1"/>
              <w:left w:val="single" w:color="CCCCCC" w:sz="1"/>
              <w:bottom w:val="single" w:color="CCCCCC" w:sz="1"/>
              <w:right w:val="single" w:color="CCCCCC" w:sz="1"/>
            </w:tcBorders>
          </w:tcPr>
          <w:p>
            <w:r>
              <w:t xml:space="preserve">eap_session, eap_user</w:t>
            </w:r>
          </w:p>
        </w:tc>
        <w:tc>
          <w:tcPr>
            <w:tcBorders>
              <w:top w:val="single" w:color="CCCCCC" w:sz="1"/>
              <w:left w:val="single" w:color="CCCCCC" w:sz="1"/>
              <w:bottom w:val="single" w:color="CCCCCC" w:sz="1"/>
              <w:right w:val="single" w:color="CCCCCC" w:sz="1"/>
            </w:tcBorders>
          </w:tcPr>
          <w:p>
            <w:r>
              <w:t xml:space="preserve">Initialize new planning session with unique code</w:t>
            </w:r>
          </w:p>
        </w:tc>
      </w:tr>
      <w:tr>
        <w:tc>
          <w:tcPr>
            <w:tcBorders>
              <w:top w:val="single" w:color="CCCCCC" w:sz="1"/>
              <w:left w:val="single" w:color="CCCCCC" w:sz="1"/>
              <w:bottom w:val="single" w:color="CCCCCC" w:sz="1"/>
              <w:right w:val="single" w:color="CCCCCC" w:sz="1"/>
            </w:tcBorders>
            <w:shd w:fill="F8F9FA" w:val="clear"/>
          </w:tcPr>
          <w:p>
            <w:r>
              <w:t xml:space="preserve">MPA Create Plan</w:t>
            </w:r>
          </w:p>
        </w:tc>
        <w:tc>
          <w:tcPr>
            <w:tcBorders>
              <w:top w:val="single" w:color="CCCCCC" w:sz="1"/>
              <w:left w:val="single" w:color="CCCCCC" w:sz="1"/>
              <w:bottom w:val="single" w:color="CCCCCC" w:sz="1"/>
              <w:right w:val="single" w:color="CCCCCC" w:sz="1"/>
            </w:tcBorders>
            <w:shd w:fill="F8F9FA" w:val="clear"/>
          </w:tcPr>
          <w:p>
            <w:r>
              <w:t xml:space="preserve">mpa_mediaplan, mpa_planversion</w:t>
            </w:r>
          </w:p>
        </w:tc>
        <w:tc>
          <w:tcPr>
            <w:tcBorders>
              <w:top w:val="single" w:color="CCCCCC" w:sz="1"/>
              <w:left w:val="single" w:color="CCCCCC" w:sz="1"/>
              <w:bottom w:val="single" w:color="CCCCCC" w:sz="1"/>
              <w:right w:val="single" w:color="CCCCCC" w:sz="1"/>
            </w:tcBorders>
            <w:shd w:fill="F8F9FA" w:val="clear"/>
          </w:tcPr>
          <w:p>
            <w:r>
              <w:t xml:space="preserve">Create new media plan with initial version</w:t>
            </w:r>
          </w:p>
        </w:tc>
      </w:tr>
      <w:tr>
        <w:tc>
          <w:tcPr>
            <w:tcBorders>
              <w:top w:val="single" w:color="CCCCCC" w:sz="1"/>
              <w:left w:val="single" w:color="CCCCCC" w:sz="1"/>
              <w:bottom w:val="single" w:color="CCCCCC" w:sz="1"/>
              <w:right w:val="single" w:color="CCCCCC" w:sz="1"/>
            </w:tcBorders>
          </w:tcPr>
          <w:p>
            <w:r>
              <w:t xml:space="preserve">MPA Save Section</w:t>
            </w:r>
          </w:p>
        </w:tc>
        <w:tc>
          <w:tcPr>
            <w:tcBorders>
              <w:top w:val="single" w:color="CCCCCC" w:sz="1"/>
              <w:left w:val="single" w:color="CCCCCC" w:sz="1"/>
              <w:bottom w:val="single" w:color="CCCCCC" w:sz="1"/>
              <w:right w:val="single" w:color="CCCCCC" w:sz="1"/>
            </w:tcBorders>
          </w:tcPr>
          <w:p>
            <w:r>
              <w:t xml:space="preserve">mpa_plandata</w:t>
            </w:r>
          </w:p>
        </w:tc>
        <w:tc>
          <w:tcPr>
            <w:tcBorders>
              <w:top w:val="single" w:color="CCCCCC" w:sz="1"/>
              <w:left w:val="single" w:color="CCCCCC" w:sz="1"/>
              <w:bottom w:val="single" w:color="CCCCCC" w:sz="1"/>
              <w:right w:val="single" w:color="CCCCCC" w:sz="1"/>
            </w:tcBorders>
          </w:tcPr>
          <w:p>
            <w:r>
              <w:t xml:space="preserve">Save or update step data (upsert pattern)</w:t>
            </w:r>
          </w:p>
        </w:tc>
      </w:tr>
      <w:tr>
        <w:tc>
          <w:tcPr>
            <w:tcBorders>
              <w:top w:val="single" w:color="CCCCCC" w:sz="1"/>
              <w:left w:val="single" w:color="CCCCCC" w:sz="1"/>
              <w:bottom w:val="single" w:color="CCCCCC" w:sz="1"/>
              <w:right w:val="single" w:color="CCCCCC" w:sz="1"/>
            </w:tcBorders>
            <w:shd w:fill="F8F9FA" w:val="clear"/>
          </w:tcPr>
          <w:p>
            <w:r>
              <w:t xml:space="preserve">MPA Validate Plan</w:t>
            </w:r>
          </w:p>
        </w:tc>
        <w:tc>
          <w:tcPr>
            <w:tcBorders>
              <w:top w:val="single" w:color="CCCCCC" w:sz="1"/>
              <w:left w:val="single" w:color="CCCCCC" w:sz="1"/>
              <w:bottom w:val="single" w:color="CCCCCC" w:sz="1"/>
              <w:right w:val="single" w:color="CCCCCC" w:sz="1"/>
            </w:tcBorders>
            <w:shd w:fill="F8F9FA" w:val="clear"/>
          </w:tcPr>
          <w:p>
            <w:r>
              <w:t xml:space="preserve">mpa_mediaplan, mpa_plandata</w:t>
            </w:r>
          </w:p>
        </w:tc>
        <w:tc>
          <w:tcPr>
            <w:tcBorders>
              <w:top w:val="single" w:color="CCCCCC" w:sz="1"/>
              <w:left w:val="single" w:color="CCCCCC" w:sz="1"/>
              <w:bottom w:val="single" w:color="CCCCCC" w:sz="1"/>
              <w:right w:val="single" w:color="CCCCCC" w:sz="1"/>
            </w:tcBorders>
            <w:shd w:fill="F8F9FA" w:val="clear"/>
          </w:tcPr>
          <w:p>
            <w:r>
              <w:t xml:space="preserve">Validate completeness at gate checkpoints</w:t>
            </w:r>
          </w:p>
        </w:tc>
      </w:tr>
      <w:tr>
        <w:tc>
          <w:tcPr>
            <w:tcBorders>
              <w:top w:val="single" w:color="CCCCCC" w:sz="1"/>
              <w:left w:val="single" w:color="CCCCCC" w:sz="1"/>
              <w:bottom w:val="single" w:color="CCCCCC" w:sz="1"/>
              <w:right w:val="single" w:color="CCCCCC" w:sz="1"/>
            </w:tcBorders>
          </w:tcPr>
          <w:p>
            <w:r>
              <w:t xml:space="preserve">MPA Search Benchmarks</w:t>
            </w:r>
          </w:p>
        </w:tc>
        <w:tc>
          <w:tcPr>
            <w:tcBorders>
              <w:top w:val="single" w:color="CCCCCC" w:sz="1"/>
              <w:left w:val="single" w:color="CCCCCC" w:sz="1"/>
              <w:bottom w:val="single" w:color="CCCCCC" w:sz="1"/>
              <w:right w:val="single" w:color="CCCCCC" w:sz="1"/>
            </w:tcBorders>
          </w:tcPr>
          <w:p>
            <w:r>
              <w:t xml:space="preserve">mpa_benchmark</w:t>
            </w:r>
          </w:p>
        </w:tc>
        <w:tc>
          <w:tcPr>
            <w:tcBorders>
              <w:top w:val="single" w:color="CCCCCC" w:sz="1"/>
              <w:left w:val="single" w:color="CCCCCC" w:sz="1"/>
              <w:bottom w:val="single" w:color="CCCCCC" w:sz="1"/>
              <w:right w:val="single" w:color="CCCCCC" w:sz="1"/>
            </w:tcBorders>
          </w:tcPr>
          <w:p>
            <w:r>
              <w:t xml:space="preserve">Query benchmarks by vertical, channel, KPI</w:t>
            </w:r>
          </w:p>
        </w:tc>
      </w:tr>
      <w:tr>
        <w:tc>
          <w:tcPr>
            <w:tcBorders>
              <w:top w:val="single" w:color="CCCCCC" w:sz="1"/>
              <w:left w:val="single" w:color="CCCCCC" w:sz="1"/>
              <w:bottom w:val="single" w:color="CCCCCC" w:sz="1"/>
              <w:right w:val="single" w:color="CCCCCC" w:sz="1"/>
            </w:tcBorders>
            <w:shd w:fill="F8F9FA" w:val="clear"/>
          </w:tcPr>
          <w:p>
            <w:r>
              <w:t xml:space="preserve">MPA Generate Document</w:t>
            </w:r>
          </w:p>
        </w:tc>
        <w:tc>
          <w:tcPr>
            <w:tcBorders>
              <w:top w:val="single" w:color="CCCCCC" w:sz="1"/>
              <w:left w:val="single" w:color="CCCCCC" w:sz="1"/>
              <w:bottom w:val="single" w:color="CCCCCC" w:sz="1"/>
              <w:right w:val="single" w:color="CCCCCC" w:sz="1"/>
            </w:tcBorders>
            <w:shd w:fill="F8F9FA" w:val="clear"/>
          </w:tcPr>
          <w:p>
            <w:r>
              <w:t xml:space="preserve">mpa_plandata</w:t>
            </w:r>
          </w:p>
        </w:tc>
        <w:tc>
          <w:tcPr>
            <w:tcBorders>
              <w:top w:val="single" w:color="CCCCCC" w:sz="1"/>
              <w:left w:val="single" w:color="CCCCCC" w:sz="1"/>
              <w:bottom w:val="single" w:color="CCCCCC" w:sz="1"/>
              <w:right w:val="single" w:color="CCCCCC" w:sz="1"/>
            </w:tcBorders>
            <w:shd w:fill="F8F9FA" w:val="clear"/>
          </w:tcPr>
          <w:p>
            <w:r>
              <w:t xml:space="preserve">Generate Word/PDF output via Azure Function</w:t>
            </w:r>
          </w:p>
        </w:tc>
      </w:tr>
      <w:tr>
        <w:tc>
          <w:tcPr>
            <w:tcBorders>
              <w:top w:val="single" w:color="CCCCCC" w:sz="1"/>
              <w:left w:val="single" w:color="CCCCCC" w:sz="1"/>
              <w:bottom w:val="single" w:color="CCCCCC" w:sz="1"/>
              <w:right w:val="single" w:color="CCCCCC" w:sz="1"/>
            </w:tcBorders>
          </w:tcPr>
          <w:p>
            <w:r>
              <w:t xml:space="preserve">EAP Promote Learning</w:t>
            </w:r>
          </w:p>
        </w:tc>
        <w:tc>
          <w:tcPr>
            <w:tcBorders>
              <w:top w:val="single" w:color="CCCCCC" w:sz="1"/>
              <w:left w:val="single" w:color="CCCCCC" w:sz="1"/>
              <w:bottom w:val="single" w:color="CCCCCC" w:sz="1"/>
              <w:right w:val="single" w:color="CCCCCC" w:sz="1"/>
            </w:tcBorders>
          </w:tcPr>
          <w:p>
            <w:r>
              <w:t xml:space="preserve">mpa_plandata, eap_learning</w:t>
            </w:r>
          </w:p>
        </w:tc>
        <w:tc>
          <w:tcPr>
            <w:tcBorders>
              <w:top w:val="single" w:color="CCCCCC" w:sz="1"/>
              <w:left w:val="single" w:color="CCCCCC" w:sz="1"/>
              <w:bottom w:val="single" w:color="CCCCCC" w:sz="1"/>
              <w:right w:val="single" w:color="CCCCCC" w:sz="1"/>
            </w:tcBorders>
          </w:tcPr>
          <w:p>
            <w:r>
              <w:t xml:space="preserve">Promote plan insights to platform-wide learnings</w:t>
            </w:r>
          </w:p>
        </w:tc>
      </w:tr>
    </w:tbl>
    <w:p>
      <w:pPr>
        <w:pStyle w:val="Heading3"/>
      </w:pPr>
      <w:r>
        <w:t xml:space="preserve">4.2 External Integrations</w:t>
      </w:r>
    </w:p>
    <w:p>
      <w:pPr>
        <w:spacing w:after="200"/>
      </w:pPr>
      <w:r>
        <w:t xml:space="preserve">The platform supports controlled external integrations via feature flags:</w:t>
      </w:r>
    </w:p>
    <w:p>
      <w:pPr>
        <w:spacing w:after="100"/>
      </w:pPr>
      <w:r>
        <w:t xml:space="preserve">• </w:t>
      </w:r>
      <w:r>
        <w:rPr>
          <w:b/>
          <w:bCs/>
        </w:rPr>
        <w:t xml:space="preserve">Web Search: </w:t>
      </w:r>
      <w:r>
        <w:t xml:space="preserve">Bing Search API for real-time market data (when enabled)</w:t>
      </w:r>
    </w:p>
    <w:p>
      <w:pPr>
        <w:spacing w:after="100"/>
      </w:pPr>
      <w:r>
        <w:t xml:space="preserve">• </w:t>
      </w:r>
      <w:r>
        <w:rPr>
          <w:b/>
          <w:bCs/>
        </w:rPr>
        <w:t xml:space="preserve">Confluence (Mastercard): </w:t>
      </w:r>
      <w:r>
        <w:t xml:space="preserve">Internal documentation search via CQL queries</w:t>
      </w:r>
    </w:p>
    <w:p>
      <w:pPr>
        <w:spacing w:after="100"/>
      </w:pPr>
      <w:r>
        <w:t xml:space="preserve">• </w:t>
      </w:r>
      <w:r>
        <w:rPr>
          <w:b/>
          <w:bCs/>
        </w:rPr>
        <w:t xml:space="preserve">Azure Key Vault: </w:t>
      </w:r>
      <w:r>
        <w:t xml:space="preserve">Secure credential management for API keys and secrets</w:t>
      </w:r>
    </w:p>
    <w:p>
      <w:r>
        <w:br w:type="page"/>
      </w:r>
    </w:p>
    <w:p>
      <w:pPr>
        <w:pStyle w:val="Heading2"/>
      </w:pPr>
      <w:r>
        <w:t xml:space="preserve">5. Scalability Considerations</w:t>
      </w:r>
    </w:p>
    <w:p>
      <w:pPr>
        <w:pStyle w:val="Heading3"/>
      </w:pPr>
      <w:r>
        <w:t xml:space="preserve">5.1 Current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CCCCCC" w:sz="1"/>
              <w:left w:val="single" w:color="CCCCCC" w:sz="1"/>
              <w:bottom w:val="single" w:color="CCCCCC" w:sz="1"/>
              <w:right w:val="single" w:color="CCCCCC" w:sz="1"/>
            </w:tcBorders>
            <w:shd w:fill="1B4F72" w:val="clear"/>
          </w:tcPr>
          <w:p>
            <w:r>
              <w:rPr>
                <w:b/>
                <w:bCs/>
                <w:color w:val="FFFFFF"/>
              </w:rPr>
              <w:t xml:space="preserve">Metric</w:t>
            </w:r>
          </w:p>
        </w:tc>
        <w:tc>
          <w:tcPr>
            <w:tcW w:type="pct" w:w="30%"/>
            <w:tcBorders>
              <w:top w:val="single" w:color="CCCCCC" w:sz="1"/>
              <w:left w:val="single" w:color="CCCCCC" w:sz="1"/>
              <w:bottom w:val="single" w:color="CCCCCC" w:sz="1"/>
              <w:right w:val="single" w:color="CCCCCC" w:sz="1"/>
            </w:tcBorders>
            <w:shd w:fill="1B4F72" w:val="clear"/>
          </w:tcPr>
          <w:p>
            <w:r>
              <w:rPr>
                <w:b/>
                <w:bCs/>
                <w:color w:val="FFFFFF"/>
              </w:rPr>
              <w:t xml:space="preserve">Capacity</w:t>
            </w:r>
          </w:p>
        </w:tc>
        <w:tc>
          <w:tcPr>
            <w:tcW w:type="pct" w:w="30%"/>
            <w:tcBorders>
              <w:top w:val="single" w:color="CCCCCC" w:sz="1"/>
              <w:left w:val="single" w:color="CCCCCC" w:sz="1"/>
              <w:bottom w:val="single" w:color="CCCCCC" w:sz="1"/>
              <w:right w:val="single" w:color="CCCCCC" w:sz="1"/>
            </w:tcBorders>
            <w:shd w:fill="1B4F72" w:val="clear"/>
          </w:tcPr>
          <w:p>
            <w:r>
              <w:rPr>
                <w:b/>
                <w:bCs/>
                <w:color w:val="FFFFFF"/>
              </w:rPr>
              <w:t xml:space="preserve">Scaling Path</w:t>
            </w:r>
          </w:p>
        </w:tc>
      </w:tr>
      <w:tr>
        <w:tc>
          <w:tcPr>
            <w:tcBorders>
              <w:top w:val="single" w:color="CCCCCC" w:sz="1"/>
              <w:left w:val="single" w:color="CCCCCC" w:sz="1"/>
              <w:bottom w:val="single" w:color="CCCCCC" w:sz="1"/>
              <w:right w:val="single" w:color="CCCCCC" w:sz="1"/>
            </w:tcBorders>
          </w:tcPr>
          <w:p>
            <w:r>
              <w:t xml:space="preserve">Concurrent Sessions</w:t>
            </w:r>
          </w:p>
        </w:tc>
        <w:tc>
          <w:tcPr>
            <w:tcBorders>
              <w:top w:val="single" w:color="CCCCCC" w:sz="1"/>
              <w:left w:val="single" w:color="CCCCCC" w:sz="1"/>
              <w:bottom w:val="single" w:color="CCCCCC" w:sz="1"/>
              <w:right w:val="single" w:color="CCCCCC" w:sz="1"/>
            </w:tcBorders>
          </w:tcPr>
          <w:p>
            <w:r>
              <w:t xml:space="preserve">100+ per environment</w:t>
            </w:r>
          </w:p>
        </w:tc>
        <w:tc>
          <w:tcPr>
            <w:tcBorders>
              <w:top w:val="single" w:color="CCCCCC" w:sz="1"/>
              <w:left w:val="single" w:color="CCCCCC" w:sz="1"/>
              <w:bottom w:val="single" w:color="CCCCCC" w:sz="1"/>
              <w:right w:val="single" w:color="CCCCCC" w:sz="1"/>
            </w:tcBorders>
          </w:tcPr>
          <w:p>
            <w:r>
              <w:t xml:space="preserve">Auto-scales via Copilot Studio</w:t>
            </w:r>
          </w:p>
        </w:tc>
      </w:tr>
      <w:tr>
        <w:tc>
          <w:tcPr>
            <w:tcBorders>
              <w:top w:val="single" w:color="CCCCCC" w:sz="1"/>
              <w:left w:val="single" w:color="CCCCCC" w:sz="1"/>
              <w:bottom w:val="single" w:color="CCCCCC" w:sz="1"/>
              <w:right w:val="single" w:color="CCCCCC" w:sz="1"/>
            </w:tcBorders>
            <w:shd w:fill="F8F9FA" w:val="clear"/>
          </w:tcPr>
          <w:p>
            <w:r>
              <w:t xml:space="preserve">Knowledge Base Documents</w:t>
            </w:r>
          </w:p>
        </w:tc>
        <w:tc>
          <w:tcPr>
            <w:tcBorders>
              <w:top w:val="single" w:color="CCCCCC" w:sz="1"/>
              <w:left w:val="single" w:color="CCCCCC" w:sz="1"/>
              <w:bottom w:val="single" w:color="CCCCCC" w:sz="1"/>
              <w:right w:val="single" w:color="CCCCCC" w:sz="1"/>
            </w:tcBorders>
            <w:shd w:fill="F8F9FA" w:val="clear"/>
          </w:tcPr>
          <w:p>
            <w:r>
              <w:t xml:space="preserve">22+ files (~93K words)</w:t>
            </w:r>
          </w:p>
        </w:tc>
        <w:tc>
          <w:tcPr>
            <w:tcBorders>
              <w:top w:val="single" w:color="CCCCCC" w:sz="1"/>
              <w:left w:val="single" w:color="CCCCCC" w:sz="1"/>
              <w:bottom w:val="single" w:color="CCCCCC" w:sz="1"/>
              <w:right w:val="single" w:color="CCCCCC" w:sz="1"/>
            </w:tcBorders>
            <w:shd w:fill="F8F9FA" w:val="clear"/>
          </w:tcPr>
          <w:p>
            <w:r>
              <w:t xml:space="preserve">Azure AI Search scales horizontally</w:t>
            </w:r>
          </w:p>
        </w:tc>
      </w:tr>
      <w:tr>
        <w:tc>
          <w:tcPr>
            <w:tcBorders>
              <w:top w:val="single" w:color="CCCCCC" w:sz="1"/>
              <w:left w:val="single" w:color="CCCCCC" w:sz="1"/>
              <w:bottom w:val="single" w:color="CCCCCC" w:sz="1"/>
              <w:right w:val="single" w:color="CCCCCC" w:sz="1"/>
            </w:tcBorders>
          </w:tcPr>
          <w:p>
            <w:r>
              <w:t xml:space="preserve">Benchmark Records</w:t>
            </w:r>
          </w:p>
        </w:tc>
        <w:tc>
          <w:tcPr>
            <w:tcBorders>
              <w:top w:val="single" w:color="CCCCCC" w:sz="1"/>
              <w:left w:val="single" w:color="CCCCCC" w:sz="1"/>
              <w:bottom w:val="single" w:color="CCCCCC" w:sz="1"/>
              <w:right w:val="single" w:color="CCCCCC" w:sz="1"/>
            </w:tcBorders>
          </w:tcPr>
          <w:p>
            <w:r>
              <w:t xml:space="preserve">708+ records</w:t>
            </w:r>
          </w:p>
        </w:tc>
        <w:tc>
          <w:tcPr>
            <w:tcBorders>
              <w:top w:val="single" w:color="CCCCCC" w:sz="1"/>
              <w:left w:val="single" w:color="CCCCCC" w:sz="1"/>
              <w:bottom w:val="single" w:color="CCCCCC" w:sz="1"/>
              <w:right w:val="single" w:color="CCCCCC" w:sz="1"/>
            </w:tcBorders>
          </w:tcPr>
          <w:p>
            <w:r>
              <w:t xml:space="preserve">Dataverse handles millions</w:t>
            </w:r>
          </w:p>
        </w:tc>
      </w:tr>
      <w:tr>
        <w:tc>
          <w:tcPr>
            <w:tcBorders>
              <w:top w:val="single" w:color="CCCCCC" w:sz="1"/>
              <w:left w:val="single" w:color="CCCCCC" w:sz="1"/>
              <w:bottom w:val="single" w:color="CCCCCC" w:sz="1"/>
              <w:right w:val="single" w:color="CCCCCC" w:sz="1"/>
            </w:tcBorders>
            <w:shd w:fill="F8F9FA" w:val="clear"/>
          </w:tcPr>
          <w:p>
            <w:r>
              <w:t xml:space="preserve">Power Automate Flows</w:t>
            </w:r>
          </w:p>
        </w:tc>
        <w:tc>
          <w:tcPr>
            <w:tcBorders>
              <w:top w:val="single" w:color="CCCCCC" w:sz="1"/>
              <w:left w:val="single" w:color="CCCCCC" w:sz="1"/>
              <w:bottom w:val="single" w:color="CCCCCC" w:sz="1"/>
              <w:right w:val="single" w:color="CCCCCC" w:sz="1"/>
            </w:tcBorders>
            <w:shd w:fill="F8F9FA" w:val="clear"/>
          </w:tcPr>
          <w:p>
            <w:r>
              <w:t xml:space="preserve">5,000 runs/day (standard)</w:t>
            </w:r>
          </w:p>
        </w:tc>
        <w:tc>
          <w:tcPr>
            <w:tcBorders>
              <w:top w:val="single" w:color="CCCCCC" w:sz="1"/>
              <w:left w:val="single" w:color="CCCCCC" w:sz="1"/>
              <w:bottom w:val="single" w:color="CCCCCC" w:sz="1"/>
              <w:right w:val="single" w:color="CCCCCC" w:sz="1"/>
            </w:tcBorders>
            <w:shd w:fill="F8F9FA" w:val="clear"/>
          </w:tcPr>
          <w:p>
            <w:r>
              <w:t xml:space="preserve">Premium tier if needed</w:t>
            </w:r>
          </w:p>
        </w:tc>
      </w:tr>
    </w:tbl>
    <w:p>
      <w:pPr>
        <w:pStyle w:val="Heading3"/>
      </w:pPr>
      <w:r>
        <w:t xml:space="preserve">5.2 Enterprise Deployment</w:t>
      </w:r>
    </w:p>
    <w:p>
      <w:pPr>
        <w:spacing w:after="200"/>
      </w:pPr>
      <w:r>
        <w:t xml:space="preserve">For Mastercard deployment, the architecture supports:</w:t>
      </w:r>
    </w:p>
    <w:p>
      <w:pPr>
        <w:spacing w:after="100"/>
      </w:pPr>
      <w:r>
        <w:t xml:space="preserve">• </w:t>
      </w:r>
      <w:r>
        <w:rPr>
          <w:b/>
          <w:bCs/>
        </w:rPr>
        <w:t xml:space="preserve">Multi-Region: </w:t>
      </w:r>
      <w:r>
        <w:t xml:space="preserve">Azure regions for data residency compliance (NA, EMEA, APAC)</w:t>
      </w:r>
    </w:p>
    <w:p>
      <w:pPr>
        <w:spacing w:after="100"/>
      </w:pPr>
      <w:r>
        <w:t xml:space="preserve">• </w:t>
      </w:r>
      <w:r>
        <w:rPr>
          <w:b/>
          <w:bCs/>
        </w:rPr>
        <w:t xml:space="preserve">Row-Level Security: </w:t>
      </w:r>
      <w:r>
        <w:t xml:space="preserve">Dataverse business units and security roles for organizational hierarchy</w:t>
      </w:r>
    </w:p>
    <w:p>
      <w:pPr>
        <w:spacing w:after="100"/>
      </w:pPr>
      <w:r>
        <w:t xml:space="preserve">• </w:t>
      </w:r>
      <w:r>
        <w:rPr>
          <w:b/>
          <w:bCs/>
        </w:rPr>
        <w:t xml:space="preserve">Data Classification: </w:t>
      </w:r>
      <w:r>
        <w:t xml:space="preserve">Support for Public, Internal, Confidential, and Restricted classification labels</w:t>
      </w:r>
    </w:p>
    <w:p>
      <w:pPr>
        <w:spacing w:after="100"/>
      </w:pPr>
      <w:r>
        <w:t xml:space="preserve">• </w:t>
      </w:r>
      <w:r>
        <w:rPr>
          <w:b/>
          <w:bCs/>
        </w:rPr>
        <w:t xml:space="preserve">Audit Compliance: </w:t>
      </w:r>
      <w:r>
        <w:t xml:space="preserve">Extended audit logging for all user interactions and data access</w:t>
      </w:r>
    </w:p>
    <w:p>
      <w:pPr>
        <w:pStyle w:val="Heading2"/>
      </w:pPr>
      <w:r>
        <w:t xml:space="preserve">6. Architecture Diagram Reference</w:t>
      </w:r>
    </w:p>
    <w:p>
      <w:pPr>
        <w:spacing w:after="200"/>
      </w:pPr>
      <w:r>
        <w:t xml:space="preserve">The following diagram shows the high-level component architecture:</w:t>
      </w:r>
    </w:p>
    <w:p>
      <w:pPr>
        <w:spacing w:after="200"/>
      </w:pPr>
      <w:r>
        <w:rPr>
          <w:i/>
          <w:iCs/>
          <w:color w:val="666666"/>
        </w:rPr>
        <w:t xml:space="preserve">[Architecture Diagram Placeholder]</w:t>
      </w:r>
    </w:p>
    <w:p>
      <w:pPr>
        <w:spacing w:after="100"/>
      </w:pPr>
      <w:r>
        <w:rPr>
          <w:b/>
          <w:bCs/>
        </w:rPr>
        <w:t xml:space="preserve">User Layer: </w:t>
      </w:r>
      <w:r>
        <w:t xml:space="preserve">Web Browser / Teams / Mobile App → Microsoft Copilot Studio</w:t>
      </w:r>
    </w:p>
    <w:p>
      <w:pPr>
        <w:spacing w:after="100"/>
      </w:pPr>
      <w:r>
        <w:rPr>
          <w:b/>
          <w:bCs/>
        </w:rPr>
        <w:t xml:space="preserve">Agent Layer: </w:t>
      </w:r>
      <w:r>
        <w:t xml:space="preserve">MPA Agent + CA Agent (planned) → Azure OpenAI GPT-4</w:t>
      </w:r>
    </w:p>
    <w:p>
      <w:pPr>
        <w:spacing w:after="100"/>
      </w:pPr>
      <w:r>
        <w:rPr>
          <w:b/>
          <w:bCs/>
        </w:rPr>
        <w:t xml:space="preserve">Platform Layer: </w:t>
      </w:r>
      <w:r>
        <w:t xml:space="preserve">EAP Services (sessions, users, audit, learning, feature flags)</w:t>
      </w:r>
    </w:p>
    <w:p>
      <w:pPr>
        <w:spacing w:after="100"/>
      </w:pPr>
      <w:r>
        <w:rPr>
          <w:b/>
          <w:bCs/>
        </w:rPr>
        <w:t xml:space="preserve">Data Layer: </w:t>
      </w:r>
      <w:r>
        <w:t xml:space="preserve">Dataverse (structured) + SharePoint (documents) + Azure AI Search (semantic)</w:t>
      </w:r>
    </w:p>
    <w:p>
      <w:pPr>
        <w:spacing w:after="100"/>
      </w:pPr>
      <w:r>
        <w:rPr>
          <w:b/>
          <w:bCs/>
        </w:rPr>
        <w:t xml:space="preserve">Integration Layer: </w:t>
      </w:r>
      <w:r>
        <w:t xml:space="preserve">Power Automate Flows + Azure Functions + External APIs</w:t>
      </w:r>
    </w:p>
    <w:p>
      <w:pPr>
        <w:spacing w:after="100"/>
      </w:pPr>
      <w:r>
        <w:rPr>
          <w:b/>
          <w:bCs/>
        </w:rPr>
        <w:t xml:space="preserve">Security Layer: </w:t>
      </w:r>
      <w:r>
        <w:t xml:space="preserve">Entra ID + Azure Key Vault + Data Classification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Mastercard Agent Platform | Architecture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B4F72"/>
      <w:sz w:val="36"/>
      <w:szCs w:val="36"/>
    </w:rPr>
  </w:style>
  <w:style w:type="paragraph" w:styleId="Heading2">
    <w:name w:val="Heading 2"/>
    <w:basedOn w:val="Normal"/>
    <w:next w:val="Normal"/>
    <w:qFormat/>
    <w:pPr>
      <w:spacing w:before="300" w:after="150"/>
    </w:pPr>
    <w:rPr>
      <w:rFonts w:ascii="Arial" w:cs="Arial" w:eastAsia="Arial" w:hAnsi="Arial"/>
      <w:b/>
      <w:bCs/>
      <w:color w:val="2471A3"/>
      <w:sz w:val="28"/>
      <w:szCs w:val="28"/>
    </w:rPr>
  </w:style>
  <w:style w:type="paragraph" w:styleId="Heading3">
    <w:name w:val="Heading 3"/>
    <w:basedOn w:val="Normal"/>
    <w:next w:val="Normal"/>
    <w:qFormat/>
    <w:pPr>
      <w:spacing w:before="200" w:after="100"/>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2026-01-17T05:27:13.447Z</dcterms:created>
  <dcterms:modified xsi:type="dcterms:W3CDTF">2026-01-17T05:27:13.447Z</dcterms:modified>
</cp:coreProperties>
</file>

<file path=docProps/custom.xml><?xml version="1.0" encoding="utf-8"?>
<Properties xmlns="http://schemas.openxmlformats.org/officeDocument/2006/custom-properties" xmlns:vt="http://schemas.openxmlformats.org/officeDocument/2006/docPropsVTypes"/>
</file>