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Agent Capabilities</w:t>
      </w:r>
    </w:p>
    <w:p>
      <w:r>
        <w:t xml:space="preserve">MCMAP deploys 11 specialized AI agents with 36+ analytical capabilities.</w:t>
      </w:r>
    </w:p>
    <w:p>
      <w:pPr>
        <w:spacing w:after="300"/>
      </w:pPr>
    </w:p>
    <w:p>
      <w:pPr>
        <w:pStyle w:val="Heading2"/>
      </w:pPr>
      <w:r>
        <w:t xml:space="preserve">Agent Inventory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3500"/>
        <w:gridCol w:w="2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Primary Function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Capabilities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ORC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Intent classification, routing, session mgmt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Analytics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Projections, calculations, statistical modeling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Audience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Segmentation, targeting, LTV modeling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Channel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Channel selection, mix optimization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SPO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Supply Path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Programmatic optimization, fee transparency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Report generation, template management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PRF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Attribution, anomaly detection, optimization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CST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Consulting Strategy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Strategic frameworks, prioritization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CHG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 Mgmt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Adoption planning, stakeholder mapping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Consulting Analysis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Business cases, financial analysis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Architecture discovery, terminology lookup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Capability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8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Capabilities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Business Application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Budget &amp; Analytics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Marginal returns, scenario modeling, projections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Optimize media investment allocation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Audience Intelligence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Segmentation, LTV modeling, propensity scoring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Target highest-value segments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Channel Strategy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Mix optimization, channel selection, emerging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Right message, right channel, right time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Supply Path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Fee analysis, partner evaluation, net bidder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Maximize working media dollars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Anomaly detection, attribution, incrementality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Enable real-time optimization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Strategic Consulting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Framework application, business cases, ROI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Rigorous methodology every engagement</w:t>
            </w:r>
          </w:p>
        </w:tc>
      </w:tr>
    </w:tbl>
    <w:p>
      <w:pPr>
        <w:spacing w:after="300"/>
      </w:pPr>
    </w:p>
    <w:p>
      <w:pPr>
        <w:jc w:val="center"/>
      </w:pPr>
      <w:r>
        <w:rPr>
          <w:color w:val="666666"/>
          <w:sz w:val="18"/>
          <w:szCs w:val="18"/>
        </w:rPr>
        <w:t xml:space="preserve">Document Version: 2.0 | January 25, 2026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Mastercard Internal | 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MCMAP - Agent Capabilities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FF5F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FF5F0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FF5F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2026-01-25T18:41:01.029Z</dcterms:created>
  <dcterms:modified xsi:type="dcterms:W3CDTF">2026-01-25T18:41:01.029Z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