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Data Architecture</w:t>
      </w:r>
    </w:p>
    <w:p>
      <w:r>
        <w:t xml:space="preserve">MCMAP uses Microsoft Dataverse for all persistent data storage with 18 tables and 800+ reference records.</w:t>
      </w:r>
    </w:p>
    <w:p>
      <w:pPr>
        <w:spacing w:after="300"/>
      </w:pPr>
    </w:p>
    <w:p>
      <w:pPr>
        <w:pStyle w:val="Heading2"/>
      </w:pPr>
      <w:r>
        <w:t xml:space="preserve">Dataverse Tables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Prefix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mpa_session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mpa_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Active planning sessions with state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mpa_campaign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mpa_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Campaign configurations and history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mpa_channel_benchmark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mpa_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708+ channel performance benchmarks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mpa_vertical_benchmark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mpa_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Industry vertical performance data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eap_capability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eap_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Registered platform capabilities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eap_agent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eap_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Agent definitions and configurations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eap_telemetry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eap_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Usage logs and audit trail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eap_user_profile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eap_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User attributes for ABAC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eap_content_tag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eap_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Content sensitivity classifications</w:t>
            </w:r>
          </w:p>
        </w:tc>
      </w:tr>
    </w:tbl>
    <w:p>
      <w:pPr>
        <w:spacing w:after="300"/>
      </w:pPr>
    </w:p>
    <w:p>
      <w:pPr>
        <w:pStyle w:val="Heading2"/>
      </w:pPr>
      <w:r>
        <w:t xml:space="preserve">Data Flow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Session Creation: </w:t>
      </w:r>
      <w:r>
        <w:t xml:space="preserve">ORC creates mpa_session record on conversation start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State Management: </w:t>
      </w:r>
      <w:r>
        <w:t xml:space="preserve">Campaign data persisted to mpa_campaign for continuity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Benchmark Lookup: </w:t>
      </w:r>
      <w:r>
        <w:t xml:space="preserve">Agents query channel/vertical tables for recommendations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Telemetry: </w:t>
      </w:r>
      <w:r>
        <w:t xml:space="preserve">All capability invocations logged to eap_telemetry</w:t>
      </w:r>
    </w:p>
    <w:p>
      <w:pPr>
        <w:spacing w:after="300"/>
      </w:pPr>
    </w:p>
    <w:p>
      <w:pPr>
        <w:jc w:val="center"/>
      </w:pPr>
      <w:r>
        <w:rPr>
          <w:color w:val="666666"/>
          <w:sz w:val="18"/>
          <w:szCs w:val="18"/>
        </w:rPr>
        <w:t xml:space="preserve">Document Version: 2.0 | January 25, 2026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Mastercard Internal | 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18"/>
        <w:szCs w:val="18"/>
      </w:rPr>
      <w:t xml:space="preserve">MCMAP - Data Architecture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50"/>
      <w:outlineLvl w:val="0"/>
    </w:pPr>
    <w:rPr>
      <w:rFonts w:ascii="Arial" w:cs="Arial" w:eastAsia="Arial" w:hAnsi="Arial"/>
      <w:b/>
      <w:bCs/>
      <w:color w:val="FF5F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FF5F0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FF5F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2026-01-25T18:41:01.029Z</dcterms:created>
  <dcterms:modified xsi:type="dcterms:W3CDTF">2026-01-25T18:41:01.029Z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