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AI Builder Integration</w:t>
      </w:r>
    </w:p>
    <w:p>
      <w:r>
        <w:t xml:space="preserve">MCMAP uses 26 AI Builder custom prompts for structured analytical processing.</w:t>
      </w:r>
    </w:p>
    <w:p>
      <w:pPr>
        <w:spacing w:after="300"/>
      </w:pPr>
    </w:p>
    <w:p>
      <w:pPr>
        <w:pStyle w:val="Heading2"/>
      </w:pPr>
      <w:r>
        <w:t xml:space="preserve">Prompt Inventory by Agent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Prompt Name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ANL_Budget_Projection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Budget scenario modeling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ANL_Marginal_Returns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Diminishing returns analysis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AUD_Segmentation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Audience segment identification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AUD_LTV_Model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Lifetime value calculation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CHA_Mix_Optimizer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 allocation optimization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SPO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SPO_Fee_Analysis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Supply path fee transparency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PRF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PRF_Attribution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Multi-touch attribution modeling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CST_Framework_Apply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Strategic framework application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DOC_Brief_Generator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Media brief document creation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Model Configuration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Model: </w:t>
      </w:r>
      <w:r>
        <w:t xml:space="preserve">GPT-4o (via AI Builder)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Temperature: </w:t>
      </w:r>
      <w:r>
        <w:t xml:space="preserve">0.3-0.7 depending on task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Max Tokens: </w:t>
      </w:r>
      <w:r>
        <w:t xml:space="preserve">4,000 for complex analysis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Response Format: </w:t>
      </w:r>
      <w:r>
        <w:t xml:space="preserve">Structured JSON for downstream processing</w:t>
      </w:r>
    </w:p>
    <w:p>
      <w:pPr>
        <w:spacing w:after="300"/>
      </w:pPr>
    </w:p>
    <w:p>
      <w:pPr>
        <w:jc w:val="center"/>
      </w:pPr>
      <w:r>
        <w:rPr>
          <w:color w:val="666666"/>
          <w:sz w:val="18"/>
          <w:szCs w:val="18"/>
        </w:rPr>
        <w:t xml:space="preserve">Document Version: 2.0 | January 25, 2026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Mastercard Internal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MCMAP - AI Builder Integration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FF5F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FF5F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2026-01-25T18:41:05.978Z</dcterms:created>
  <dcterms:modified xsi:type="dcterms:W3CDTF">2026-01-25T18:41:05.979Z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