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Quality Assurance</w:t>
      </w:r>
    </w:p>
    <w:p>
      <w:r>
        <w:t xml:space="preserve">Testing framework, validation procedures, and quality metrics for MCMAP.</w:t>
      </w:r>
    </w:p>
    <w:p>
      <w:pPr>
        <w:spacing w:after="300"/>
      </w:pPr>
    </w:p>
    <w:p>
      <w:pPr>
        <w:pStyle w:val="Heading2"/>
      </w:pPr>
      <w:r>
        <w:t xml:space="preserve">Testing Framework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Unit Tests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Braintrust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Individual capability validation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Integration Tests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Braintrust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Agent collaboration testing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E2E Tests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Braintrust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workflow validation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Regression Tests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Automated Suite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 impact verification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Quality Metrics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Response Latency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&lt; 5 seconds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3.2s avg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99.9%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99.95%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Scorer Accuracy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&gt; 95%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97.2%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 Pass 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Met</w:t>
            </w:r>
          </w:p>
        </w:tc>
      </w:tr>
    </w:tbl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Quality Assurance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2026-01-25T18:41:05.982Z</dcterms:created>
  <dcterms:modified xsi:type="dcterms:W3CDTF">2026-01-25T18:41:05.982Z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