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5F00" w:val="clear"/>
            <w:tcMar>
              <w:top w:type="dxa" w:w="400"/>
              <w:left w:type="dxa" w:w="200"/>
              <w:bottom w:type="dxa" w:w="400"/>
              <w:right w:type="dxa" w:w="200"/>
            </w:tcMar>
          </w:tcPr>
          <w:p>
            <w:pPr>
              <w:jc w:val="center"/>
            </w:pPr>
            <w:r>
              <w:rPr>
                <w:rFonts w:ascii="Arial" w:cs="Arial" w:eastAsia="Arial" w:hAnsi="Arial"/>
                <w:b/>
                <w:bCs/>
                <w:color w:val="FFFFFF"/>
                <w:sz w:val="56"/>
                <w:szCs w:val="56"/>
              </w:rPr>
              <w:t xml:space="preserve">MASTERCARD</w:t>
            </w:r>
          </w:p>
        </w:tc>
      </w:tr>
    </w:tbl>
    <w:p>
      <w:pPr>
        <w:spacing w:after="800"/>
      </w:pPr>
    </w:p>
    <w:p>
      <w:pPr>
        <w:spacing w:after="100"/>
        <w:jc w:val="center"/>
      </w:pPr>
      <w:r>
        <w:rPr>
          <w:rFonts w:ascii="Arial" w:cs="Arial" w:eastAsia="Arial" w:hAnsi="Arial"/>
          <w:b/>
          <w:bCs/>
          <w:color w:val="FF5F00"/>
          <w:sz w:val="44"/>
          <w:szCs w:val="44"/>
        </w:rPr>
        <w:t xml:space="preserve">CONSULTING &amp; MARKETING</w:t>
      </w:r>
    </w:p>
    <w:p>
      <w:pPr>
        <w:spacing w:after="400"/>
        <w:jc w:val="center"/>
      </w:pPr>
      <w:r>
        <w:rPr>
          <w:rFonts w:ascii="Arial" w:cs="Arial" w:eastAsia="Arial" w:hAnsi="Arial"/>
          <w:b/>
          <w:bCs/>
          <w:color w:val="FF5F00"/>
          <w:sz w:val="56"/>
          <w:szCs w:val="56"/>
        </w:rPr>
        <w:t xml:space="preserve">AGENT PLATFORM</w:t>
      </w:r>
    </w:p>
    <w:tbl>
      <w:tblPr>
        <w:tblW w:type="pct" w:w="40%"/>
        <w:tblBorders>
          <w:top w:val="single" w:color="auto" w:sz="4"/>
          <w:left w:val="single" w:color="auto" w:sz="4"/>
          <w:bottom w:val="single" w:color="auto" w:sz="4"/>
          <w:right w:val="single" w:color="auto" w:sz="4"/>
          <w:insideH w:val="single" w:color="auto" w:sz="4"/>
          <w:insideV w:val="single" w:color="auto" w:sz="4"/>
        </w:tblBorders>
      </w:tblPr>
      <w:tblGrid>
        <w:gridCol w:w="3744"/>
      </w:tblGrid>
      <w:tr>
        <w:tc>
          <w:tcPr>
            <w:tcW w:type="dxa" w:w="3744"/>
            <w:shd w:fill="CC4C00" w:val="clear"/>
            <w:tcMar>
              <w:top w:type="dxa" w:w="40"/>
              <w:bottom w:type="dxa" w:w="40"/>
            </w:tcMar>
          </w:tcPr>
          <w:p>
            <w:r>
              <w:rPr>
                <w:sz w:val="8"/>
                <w:szCs w:val="8"/>
              </w:rPr>
              <w:t xml:space="preserve"> </w:t>
            </w:r>
          </w:p>
        </w:tc>
      </w:tr>
    </w:tbl>
    <w:p>
      <w:pPr>
        <w:spacing w:after="400"/>
      </w:pPr>
    </w:p>
    <w:p>
      <w:pPr>
        <w:spacing w:after="200"/>
        <w:jc w:val="center"/>
      </w:pPr>
      <w:r>
        <w:rPr>
          <w:rFonts w:ascii="Arial" w:cs="Arial" w:eastAsia="Arial" w:hAnsi="Arial"/>
          <w:color w:val="CC4C00"/>
          <w:sz w:val="36"/>
          <w:szCs w:val="36"/>
        </w:rPr>
        <w:t xml:space="preserve">EXECUTIVE REFERENCE PACKET</w:t>
      </w:r>
    </w:p>
    <w:p>
      <w:pPr>
        <w:spacing w:after="800"/>
        <w:jc w:val="center"/>
      </w:pPr>
      <w:r>
        <w:rPr>
          <w:rFonts w:ascii="Arial" w:cs="Arial" w:eastAsia="Arial" w:hAnsi="Arial"/>
          <w:b/>
          <w:bCs/>
          <w:color w:val="666666"/>
          <w:sz w:val="28"/>
          <w:szCs w:val="28"/>
        </w:rPr>
        <w:t xml:space="preserve">( MCMAP )</w:t>
      </w:r>
    </w:p>
    <w:p>
      <w:pPr>
        <w:spacing w:after="600"/>
      </w:pPr>
    </w:p>
    <w:tbl>
      <w:tblPr>
        <w:tblW w:type="pct" w:w="70%"/>
        <w:tblBorders>
          <w:top w:val="single" w:color="auto" w:sz="4"/>
          <w:left w:val="single" w:color="auto" w:sz="4"/>
          <w:bottom w:val="single" w:color="auto" w:sz="4"/>
          <w:right w:val="single" w:color="auto" w:sz="4"/>
          <w:insideH w:val="single" w:color="auto" w:sz="4"/>
          <w:insideV w:val="single" w:color="auto" w:sz="4"/>
        </w:tblBorders>
      </w:tblPr>
      <w:tblGrid>
        <w:gridCol w:w="3000"/>
        <w:gridCol w:w="3560"/>
      </w:tblGrid>
      <w:tr>
        <w:tc>
          <w:tcPr>
            <w:tcW w:type="dxa" w:w="6560"/>
            <w:gridSpan w:val="2"/>
            <w:shd w:fill="FF5F00" w:val="clear"/>
            <w:tcMar>
              <w:top w:type="dxa" w:w="120"/>
              <w:left w:type="dxa" w:w="200"/>
              <w:bottom w:type="dxa" w:w="120"/>
              <w:right w:type="dxa" w:w="200"/>
            </w:tcMar>
          </w:tcPr>
          <w:p>
            <w:pPr>
              <w:jc w:val="center"/>
            </w:pPr>
            <w:r>
              <w:rPr>
                <w:b/>
                <w:bCs/>
                <w:color w:val="FFFFFF"/>
                <w:sz w:val="24"/>
                <w:szCs w:val="24"/>
              </w:rPr>
              <w:t xml:space="preserve">DOCUMENT INFORMATION</w:t>
            </w:r>
          </w:p>
        </w:tc>
      </w:tr>
      <w:tr>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b/>
                <w:bCs/>
                <w:sz w:val="22"/>
                <w:szCs w:val="22"/>
              </w:rPr>
              <w:t xml:space="preserve">Version</w:t>
            </w:r>
          </w:p>
        </w:tc>
        <w:tc>
          <w:tcPr>
            <w:tcW w:type="dxa" w:w="35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sz w:val="22"/>
                <w:szCs w:val="22"/>
              </w:rPr>
              <w:t xml:space="preserve">2.0</w:t>
            </w:r>
          </w:p>
        </w:tc>
      </w:tr>
      <w:tr>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b/>
                <w:bCs/>
                <w:sz w:val="22"/>
                <w:szCs w:val="22"/>
              </w:rPr>
              <w:t xml:space="preserve">Date</w:t>
            </w:r>
          </w:p>
        </w:tc>
        <w:tc>
          <w:tcPr>
            <w:tcW w:type="dxa" w:w="35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sz w:val="22"/>
                <w:szCs w:val="22"/>
              </w:rPr>
              <w:t xml:space="preserve">January 25, 2026</w:t>
            </w:r>
          </w:p>
        </w:tc>
      </w:tr>
      <w:tr>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b/>
                <w:bCs/>
                <w:sz w:val="22"/>
                <w:szCs w:val="22"/>
              </w:rPr>
              <w:t xml:space="preserve">Classification</w:t>
            </w:r>
          </w:p>
        </w:tc>
        <w:tc>
          <w:tcPr>
            <w:tcW w:type="dxa" w:w="35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sz w:val="22"/>
                <w:szCs w:val="22"/>
              </w:rPr>
              <w:t xml:space="preserve">Mastercard Internal</w:t>
            </w:r>
          </w:p>
        </w:tc>
      </w:tr>
      <w:tr>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b/>
                <w:bCs/>
                <w:sz w:val="22"/>
                <w:szCs w:val="22"/>
              </w:rPr>
              <w:t xml:space="preserve">Status</w:t>
            </w:r>
          </w:p>
        </w:tc>
        <w:tc>
          <w:tcPr>
            <w:tcW w:type="dxa" w:w="3560"/>
            <w:tcBorders>
              <w:top w:val="single" w:color="CCCCCC" w:sz="1"/>
              <w:left w:val="single" w:color="CCCCCC" w:sz="1"/>
              <w:bottom w:val="single" w:color="CCCCCC" w:sz="1"/>
              <w:right w:val="single" w:color="CCCCCC" w:sz="1"/>
            </w:tcBorders>
            <w:shd w:fill="E8F5E9" w:val="clear"/>
            <w:tcMar>
              <w:top w:type="dxa" w:w="100"/>
              <w:left w:type="dxa" w:w="150"/>
              <w:bottom w:type="dxa" w:w="100"/>
              <w:right w:type="dxa" w:w="150"/>
            </w:tcMar>
          </w:tcPr>
          <w:p>
            <w:r>
              <w:rPr>
                <w:b/>
                <w:bCs/>
                <w:color w:val="2E7D32"/>
                <w:sz w:val="22"/>
                <w:szCs w:val="22"/>
              </w:rPr>
              <w:t xml:space="preserve">Production Ready</w:t>
            </w:r>
          </w:p>
        </w:tc>
      </w:tr>
    </w:tbl>
    <w:p>
      <w:pPr>
        <w:spacing w:after="800"/>
      </w:pPr>
    </w:p>
    <w:p>
      <w:pPr>
        <w:jc w:val="center"/>
      </w:pPr>
      <w:r>
        <w:rPr>
          <w:i/>
          <w:iCs/>
          <w:color w:val="666666"/>
          <w:sz w:val="24"/>
          <w:szCs w:val="24"/>
        </w:rPr>
        <w:t xml:space="preserve">Enterprise AI Platform for Media Planning &amp; Strategic Consulting</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Strategic Value Proposition</w:t>
      </w:r>
    </w:p>
    <w:p>
      <w:pPr>
        <w:pBdr>
          <w:top w:val="single" w:color="FF5F00" w:sz="1"/>
          <w:bottom w:val="single" w:color="FF5F00" w:sz="1"/>
          <w:left w:val="single" w:color="FF5F00" w:sz="1"/>
          <w:right w:val="single" w:color="FF5F00" w:sz="1"/>
        </w:pBdr>
        <w:shd w:fill="E8F4F8" w:val="clear"/>
        <w:spacing w:before="200" w:after="200"/>
      </w:pPr>
      <w:r>
        <w:rPr>
          <w:b/>
          <w:bCs/>
          <w:sz w:val="28"/>
          <w:szCs w:val="28"/>
        </w:rPr>
        <w:t xml:space="preserve">EXECUTIVE OVERVIEW</w:t>
      </w:r>
    </w:p>
    <w:p>
      <w:r>
        <w:t xml:space="preserve">MCMAP is an enterprise AI platform that delivers two production-ready capabilities today—Media Planning and Strategic Consulting Support—while establishing the architectural foundation for unlimited expansion across Mastercard's service portfolio.</w:t>
      </w:r>
    </w:p>
    <w:p>
      <w:pPr>
        <w:spacing w:after="200"/>
      </w:pPr>
    </w:p>
    <w:p>
      <w:r>
        <w:rPr>
          <w:b/>
          <w:bCs/>
        </w:rPr>
        <w:t xml:space="preserve">What exists today:</w:t>
      </w:r>
    </w:p>
    <w:p>
      <w:r>
        <w:t xml:space="preserve">10 specialized AI agents | 36 analytical capabilities | 15 industry verticals | 37+ knowledge base documents | Full enterprise integration | Production-ready</w:t>
      </w:r>
    </w:p>
    <w:p>
      <w:pPr>
        <w:spacing w:after="200"/>
      </w:pPr>
    </w:p>
    <w:p>
      <w:r>
        <w:rPr>
          <w:b/>
          <w:bCs/>
        </w:rPr>
        <w:t xml:space="preserve">What it cost to build:</w:t>
      </w:r>
    </w:p>
    <w:p>
      <w:r>
        <w:t xml:space="preserve">One person. ~100 hours. Under $3,000.</w:t>
      </w:r>
    </w:p>
    <w:p>
      <w:pPr>
        <w:spacing w:after="200"/>
      </w:pPr>
    </w:p>
    <w:p>
      <w:r>
        <w:rPr>
          <w:b/>
          <w:bCs/>
        </w:rPr>
        <w:t xml:space="preserve">The strategic insight:</w:t>
      </w:r>
    </w:p>
    <w:p>
      <w:r>
        <w:t xml:space="preserve">Media Planning and Consulting Support are not the product—they are the first two proofs of concept demonstrating what MCMAP can do. The platform architecture that powers them is the real product, designed to extend into any domain where expertise can be encoded.</w:t>
      </w:r>
    </w:p>
    <w:p>
      <w:pPr>
        <w:spacing w:after="200"/>
      </w:pPr>
    </w:p>
    <w:p>
      <w:r>
        <w:rPr>
          <w:b/>
          <w:bCs/>
        </w:rPr>
        <w:t xml:space="preserve">The opportunity in front of us:</w:t>
      </w:r>
    </w:p>
    <w:p>
      <w:r>
        <w:rPr>
          <w:i/>
          <w:iCs/>
        </w:rPr>
        <w:t xml:space="preserve">If one person built this—imagine what we could build if Mastercard applied its full resources.</w:t>
      </w:r>
    </w:p>
    <w:p>
      <w:pPr>
        <w:spacing w:after="300"/>
      </w:pPr>
    </w:p>
    <w:p>
      <w:pPr>
        <w:pStyle w:val="Heading2"/>
      </w:pPr>
      <w:r>
        <w:t xml:space="preserve">1.1 Two Proven Use Cases, One Extensible Platform</w:t>
      </w:r>
    </w:p>
    <w:p>
      <w:r>
        <w:t xml:space="preserve">MCMAP today delivers two production-ready capabilities that solve real business problems for Mastercard teams. These are not prototypes—they are fully functional systems with comprehensive knowledge bases, validated workflows, and enterprise-grade security.</w:t>
      </w:r>
    </w:p>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
            </w:r>
          </w:p>
        </w:tc>
        <w:tc>
          <w:tcPr>
            <w:tcW w:type="dxa" w:w="368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Media Planning (MPA)</w:t>
            </w:r>
          </w:p>
        </w:tc>
        <w:tc>
          <w:tcPr>
            <w:tcW w:type="dxa" w:w="368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Consulting Support (CA)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Purpose</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Transform media brief development into intelligent, outcome-focused campaign planning</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Accelerate research, discovery, and assessment phases of strategic consulting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Agents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7 specialist agents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 specialist agents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Capabilities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24 analytical capabilities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10 analytical capabilities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Status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Production-ready</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Production-ready</w:t>
            </w:r>
          </w:p>
        </w:tc>
      </w:tr>
    </w:tbl>
    <w:p>
      <w:pPr>
        <w:spacing w:after="300"/>
      </w:pPr>
    </w:p>
    <w:p>
      <w:pPr>
        <w:pStyle w:val="Heading2"/>
      </w:pPr>
      <w:r>
        <w:t xml:space="preserve">1.2 USE CASE 1: Media Planning (MPA Domain)</w:t>
      </w:r>
    </w:p>
    <w:p>
      <w:pPr>
        <w:pStyle w:val="Heading3"/>
      </w:pPr>
      <w:r>
        <w:t xml:space="preserve">What It Does</w:t>
      </w:r>
    </w:p>
    <w:p>
      <w:r>
        <w:t xml:space="preserve">The Media Planning Agent transforms how Mastercard teams develop media strategies. Rather than starting from a blank brief, planners interact with an AI system that guides them through a structured 10-step workflow while providing expert-level analysis at each stage.</w:t>
      </w:r>
    </w:p>
    <w:p>
      <w:pPr>
        <w:spacing w:after="200"/>
      </w:pPr>
    </w:p>
    <w:p>
      <w:pPr>
        <w:pStyle w:val="Heading3"/>
      </w:pPr>
      <w:r>
        <w:t xml:space="preserve">Core Outcome</w:t>
      </w:r>
    </w:p>
    <w:p>
      <w:pPr>
        <w:pBdr>
          <w:left w:val="single" w:color="CC4C00" w:sz="24"/>
        </w:pBdr>
        <w:shd w:fill="FFF3E0" w:val="clear"/>
        <w:spacing w:before="100" w:after="100"/>
        <w:ind w:left="200"/>
      </w:pPr>
      <w:r>
        <w:rPr>
          <w:b/>
          <w:bCs/>
        </w:rPr>
        <w:t xml:space="preserve">World-class media plans that deliver better campaign results than achievable through any other partner or platform.</w:t>
      </w:r>
    </w:p>
    <w:p>
      <w:pPr>
        <w:spacing w:after="200"/>
      </w:pPr>
    </w:p>
    <w:p>
      <w:pPr>
        <w:pStyle w:val="Heading3"/>
      </w:pPr>
      <w:r>
        <w:t xml:space="preserve">Business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Impact Area</w:t>
            </w:r>
          </w:p>
        </w:tc>
        <w:tc>
          <w:tcPr>
            <w:tcW w:type="dxa" w:w="656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How MCMAP Delivers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Reduced Agency Passthrough</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By producing agency-quality media plans internally, Mastercard captures margin currently paid to external partners.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Scaled Media Management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Teams manage larger budgets without proportional headcount increases.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Stronger Client Relationships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Faster turnaround, more sophisticated analysis, better campaign outcomes.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Revenue Growth</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Direct fees, embedded data product sales, increased share of client media spend.</w:t>
            </w:r>
          </w:p>
        </w:tc>
      </w:tr>
    </w:tbl>
    <w:p>
      <w:pPr>
        <w:spacing w:after="300"/>
      </w:pPr>
    </w:p>
    <w:p>
      <w:pPr>
        <w:pStyle w:val="Heading2"/>
      </w:pPr>
      <w:r>
        <w:t xml:space="preserve">1.3 USE CASE 2: Strategic Consulting Support (CA Domain)</w:t>
      </w:r>
    </w:p>
    <w:p>
      <w:pPr>
        <w:pStyle w:val="Heading3"/>
      </w:pPr>
      <w:r>
        <w:t xml:space="preserve">What It Does</w:t>
      </w:r>
    </w:p>
    <w:p>
      <w:r>
        <w:t xml:space="preserve">The Consulting Agent accelerates research, discovery, and assessment phases. The system encodes 60+ strategic frameworks and 35+ analytical models specifically designed for consulting use cases.</w:t>
      </w:r>
    </w:p>
    <w:p>
      <w:pPr>
        <w:spacing w:after="200"/>
      </w:pPr>
    </w:p>
    <w:p>
      <w:pPr>
        <w:pStyle w:val="Heading3"/>
      </w:pPr>
      <w:r>
        <w:t xml:space="preserve">Core Outcome</w:t>
      </w:r>
    </w:p>
    <w:p>
      <w:pPr>
        <w:pBdr>
          <w:left w:val="single" w:color="CC4C00" w:sz="24"/>
        </w:pBdr>
        <w:shd w:fill="FFF3E0" w:val="clear"/>
        <w:spacing w:before="100" w:after="100"/>
        <w:ind w:left="200"/>
      </w:pPr>
      <w:r>
        <w:rPr>
          <w:b/>
          <w:bCs/>
        </w:rPr>
        <w:t xml:space="preserve">Higher-quality research, discovery, and assessments that elevate every consulting deliverable.</w:t>
      </w:r>
    </w:p>
    <w:p>
      <w:pPr>
        <w:spacing w:after="200"/>
      </w:pPr>
    </w:p>
    <w:p>
      <w:pPr>
        <w:pStyle w:val="Heading3"/>
      </w:pPr>
      <w:r>
        <w:t xml:space="preserve">Business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Impact Area</w:t>
            </w:r>
          </w:p>
        </w:tc>
        <w:tc>
          <w:tcPr>
            <w:tcW w:type="dxa" w:w="656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How MCMAP Delivers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Delivery Efficiency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Research phases that took weeks now complete in days.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Consistent Quality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Every engagement applies rigorous methodology regardless of team assigned.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Higher Client Satisfaction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Better analysis leads to better recommendations leads to better outcomes.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Scaled Capacity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Teams take on more engagements without proportional staffing increases.</w:t>
            </w:r>
          </w:p>
        </w:tc>
      </w:tr>
    </w:tbl>
    <w:p>
      <w:pPr>
        <w:spacing w:after="300"/>
      </w:pPr>
    </w:p>
    <w:p>
      <w:pPr>
        <w:pStyle w:val="Heading2"/>
      </w:pPr>
      <w:r>
        <w:t xml:space="preserve">1.4 The Platform Vision: Beyond Media and Consulting</w:t>
      </w:r>
    </w:p>
    <w:p>
      <w:r>
        <w:t xml:space="preserve">Media Planning and Consulting Support are proof points, not endpoints. The architectural decisions enable unlimited extension:</w:t>
      </w:r>
    </w:p>
    <w:p>
      <w:pPr>
        <w:spacing w:after="200"/>
      </w:pPr>
    </w:p>
    <w:p>
      <w:pPr>
        <w:pStyle w:val="ListParagraph"/>
        <w:numPr>
          <w:ilvl w:val="0"/>
          <w:numId w:val="2"/>
        </w:numPr>
      </w:pPr>
      <w:r>
        <w:rPr>
          <w:b/>
          <w:bCs/>
        </w:rPr>
        <w:t xml:space="preserve">Capability Abstraction Layer: </w:t>
      </w:r>
      <w:r>
        <w:t xml:space="preserve">Portable capabilities implementable on any stack.</w:t>
      </w:r>
    </w:p>
    <w:p>
      <w:pPr>
        <w:pStyle w:val="ListParagraph"/>
        <w:numPr>
          <w:ilvl w:val="0"/>
          <w:numId w:val="2"/>
        </w:numPr>
      </w:pPr>
      <w:r>
        <w:rPr>
          <w:b/>
          <w:bCs/>
        </w:rPr>
        <w:t xml:space="preserve">Shared Orchestration: </w:t>
      </w:r>
      <w:r>
        <w:t xml:space="preserve">ORC agent routes, manages sessions, enforces security across domains.</w:t>
      </w:r>
    </w:p>
    <w:p>
      <w:pPr>
        <w:pStyle w:val="ListParagraph"/>
        <w:numPr>
          <w:ilvl w:val="0"/>
          <w:numId w:val="2"/>
        </w:numPr>
      </w:pPr>
      <w:r>
        <w:rPr>
          <w:b/>
          <w:bCs/>
        </w:rPr>
        <w:t xml:space="preserve">Configuration-Driven Expansion: </w:t>
      </w:r>
      <w:r>
        <w:t xml:space="preserve">New verticals added through configuration, not code.</w:t>
      </w:r>
    </w:p>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If MCMAP can...</w:t>
            </w:r>
          </w:p>
        </w:tc>
        <w:tc>
          <w:tcPr>
            <w:tcW w:type="dxa" w:w="468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Then MCMAP can also...</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Optimize media budget allocation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Optimize fraud detection resource allocation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Apply consulting frameworks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Apply risk frameworks to operations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Generate media briefs automatically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Generate compliance reports automatically</w:t>
            </w:r>
          </w:p>
        </w:tc>
      </w:tr>
    </w:tbl>
    <w:p>
      <w:pPr>
        <w:spacing w:after="200"/>
      </w:pPr>
    </w:p>
    <w:p>
      <w:r>
        <w:rPr>
          <w:b/>
          <w:bCs/>
          <w:i/>
          <w:iCs/>
        </w:rPr>
        <w:t xml:space="preserve">The question is not 'what can MCMAP do?' The question is 'what does Mastercard want MCMAP to do next?'</w:t>
      </w:r>
    </w:p>
    <w:p>
      <w:pPr>
        <w:spacing w:after="300"/>
      </w:pPr>
    </w:p>
    <w:p>
      <w:pPr>
        <w:pStyle w:val="Heading2"/>
      </w:pPr>
      <w:r>
        <w:t xml:space="preserve">1.5 Key Capabilities at a Glance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860"/>
      </w:tblGrid>
      <w:tr>
        <w:tc>
          <w:tcPr>
            <w:tcW w:type="dxa" w:w="22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Category</w:t>
            </w:r>
          </w:p>
        </w:tc>
        <w:tc>
          <w:tcPr>
            <w:tcW w:type="dxa" w:w="33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Capabilities</w:t>
            </w:r>
          </w:p>
        </w:tc>
        <w:tc>
          <w:tcPr>
            <w:tcW w:type="dxa" w:w="386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Business Application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Budget &amp; Analytics</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Marginal returns, scenario modeling, projections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Optimize media investment allocation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Audience Intelligence</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Segmentation, LTV modeling, propensity scoring</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Target highest-value segments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Channel Strategy</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Mix optimization, channel selection</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Right message, right channel, right time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Supply Path</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Fee analysis, partner evaluation</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Maximize working media dollars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Performance</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Anomaly detection, attribution</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Enable real-time optimization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Strategic Consulting</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Framework application, business cases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Rigorous methodology every engagement</w:t>
            </w:r>
          </w:p>
        </w:tc>
      </w:tr>
    </w:tbl>
    <w:p>
      <w:pPr>
        <w:spacing w:after="300"/>
      </w:pPr>
    </w:p>
    <w:p>
      <w:pPr>
        <w:pStyle w:val="Heading2"/>
      </w:pPr>
      <w:r>
        <w:t xml:space="preserve">1.6 Cost Savings &amp; Efficiency Gains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c>
          <w:tcPr>
            <w:tcW w:type="dxa" w:w="28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Efficiency Metric</w:t>
            </w:r>
          </w:p>
        </w:tc>
        <w:tc>
          <w:tcPr>
            <w:tcW w:type="dxa" w:w="2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Current</w:t>
            </w:r>
          </w:p>
        </w:tc>
        <w:tc>
          <w:tcPr>
            <w:tcW w:type="dxa" w:w="2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With MCMAP</w:t>
            </w:r>
          </w:p>
        </w:tc>
        <w:tc>
          <w:tcPr>
            <w:tcW w:type="dxa" w:w="256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Improvement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Media Brief Development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2-3 weeks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2-3 days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80% faster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Channel Mix Analysis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 week</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2 hours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95% faster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Budget Scenario Modeling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3-5 days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30 minutes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95% faster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Framework Application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1-2 weeks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1-2 days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85% faster</w:t>
            </w:r>
          </w:p>
        </w:tc>
      </w:tr>
    </w:tbl>
    <w:p>
      <w:pPr>
        <w:spacing w:after="100"/>
      </w:pPr>
    </w:p>
    <w:p>
      <w:r>
        <w:rPr>
          <w:b/>
          <w:bCs/>
        </w:rPr>
        <w:t xml:space="preserve">Estimated Annual Efficiency Value: </w:t>
      </w:r>
      <w:r>
        <w:t xml:space="preserve">$2-4M in productivity gains (conservative, 50+ users)</w:t>
      </w:r>
    </w:p>
    <w:p>
      <w:pPr>
        <w:spacing w:after="300"/>
      </w:pPr>
    </w:p>
    <w:p>
      <w:pPr>
        <w:pStyle w:val="Heading2"/>
      </w:pPr>
      <w:r>
        <w:t xml:space="preserve">1.7 Revenue Opportunities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c>
          <w:tcPr>
            <w:tcW w:type="dxa" w:w="24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Revenue Path</w:t>
            </w:r>
          </w:p>
        </w:tc>
        <w:tc>
          <w:tcPr>
            <w:tcW w:type="dxa" w:w="36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Mechanism</w:t>
            </w:r>
          </w:p>
        </w:tc>
        <w:tc>
          <w:tcPr>
            <w:tcW w:type="dxa" w:w="336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Impact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Agency Margin Capture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Internalize planning services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6-10% margin on managed media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Direct Licensing</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License MCMAP to clients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$100K-500K per enterprise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Consulting Upsell</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Higher-quality deliverables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15-25% increase in follow-on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Premium Services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MCMAP-powered services premium</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10-20% price premium</w:t>
            </w:r>
          </w:p>
        </w:tc>
      </w:tr>
    </w:tbl>
    <w:p>
      <w:r>
        <w:br w:type="page"/>
      </w:r>
    </w:p>
    <w:p>
      <w:pPr>
        <w:pStyle w:val="Heading1"/>
      </w:pPr>
      <w:r>
        <w:t xml:space="preserve">2. Platform Overview</w:t>
      </w:r>
    </w:p>
    <w:p>
      <w:pPr>
        <w:pStyle w:val="Heading2"/>
      </w:pPr>
      <w:r>
        <w:t xml:space="preserve">2.1 What is MCMAP?</w:t>
      </w:r>
    </w:p>
    <w:p>
      <w:r>
        <w:t xml:space="preserve">The Mastercard Consulting &amp; Marketing Agent Platform (MCMAP) is an enterprise AI system built entirely on Microsoft Power Platform. It deploys 10 specialized AI agents that collaborate across media planning, analytics, audience intelligence, and strategic consulting domains.</w:t>
      </w:r>
    </w:p>
    <w:p>
      <w:pPr>
        <w:spacing w:after="200"/>
      </w:pPr>
    </w:p>
    <w:p>
      <w:r>
        <w:rPr>
          <w:b/>
          <w:bCs/>
        </w:rPr>
        <w:t xml:space="preserve">Core Philosophy: </w:t>
      </w:r>
      <w:r>
        <w:t xml:space="preserve">MCMAP operates as a strategic advisor, not a workflow enforcer.</w:t>
      </w:r>
    </w:p>
    <w:p>
      <w:pPr>
        <w:spacing w:after="300"/>
      </w:pPr>
    </w:p>
    <w:p>
      <w:pPr>
        <w:pStyle w:val="Heading2"/>
      </w:pPr>
      <w:r>
        <w:t xml:space="preserve">2.2 Key Platform Metrics</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tblGrid>
      <w:tr>
        <w:tc>
          <w:tcPr>
            <w:tcW w:type="dxa" w:w="4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Metric</w:t>
            </w:r>
          </w:p>
        </w:tc>
        <w:tc>
          <w:tcPr>
            <w:tcW w:type="dxa" w:w="3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Value</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Total Agents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10</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Total Capabilities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36</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AI Builder Prompts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26</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Dataverse Tables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14</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Knowledge Base Files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37+</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Industry Verticals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15</w:t>
            </w:r>
          </w:p>
        </w:tc>
      </w:tr>
    </w:tbl>
    <w:p>
      <w:pPr>
        <w:spacing w:after="300"/>
      </w:pPr>
    </w:p>
    <w:p>
      <w:pPr>
        <w:pStyle w:val="Heading1"/>
      </w:pPr>
      <w:r>
        <w:t xml:space="preserve">3. Technology Architecture</w:t>
      </w:r>
    </w:p>
    <w:p>
      <w:pPr>
        <w:pStyle w:val="Heading2"/>
      </w:pPr>
      <w:r>
        <w:t xml:space="preserve">3.1 Platform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Layer</w:t>
            </w:r>
          </w:p>
        </w:tc>
        <w:tc>
          <w:tcPr>
            <w:tcW w:type="dxa" w:w="636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Technology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Presentation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Microsoft Copilot Studio (10 Agents)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Orchestration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ORC Agent (Intent, Routing, Sessions)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Computation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AI Builder (26 Custom Prompts)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Workflow</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Power Automate (5 Flows)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Data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Microsoft Dataverse (14 Tables)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Knowledge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SharePoint (37+ KB Files)</w:t>
            </w:r>
          </w:p>
        </w:tc>
      </w:tr>
    </w:tbl>
    <w:p>
      <w:pPr>
        <w:spacing w:after="300"/>
      </w:pPr>
    </w:p>
    <w:p>
      <w:pPr>
        <w:pStyle w:val="Heading1"/>
      </w:pPr>
      <w:r>
        <w:t xml:space="preserve">4. Agent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4000"/>
        <w:gridCol w:w="2160"/>
      </w:tblGrid>
      <w:tr>
        <w:tc>
          <w:tcPr>
            <w:tcW w:type="dxa" w:w="12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Code</w:t>
            </w:r>
          </w:p>
        </w:tc>
        <w:tc>
          <w:tcPr>
            <w:tcW w:type="dxa" w:w="2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Agent</w:t>
            </w:r>
          </w:p>
        </w:tc>
        <w:tc>
          <w:tcPr>
            <w:tcW w:type="dxa" w:w="4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Function</w:t>
            </w:r>
          </w:p>
        </w:tc>
        <w:tc>
          <w:tcPr>
            <w:tcW w:type="dxa" w:w="216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Caps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ORC</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Orchestrator</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Intent classification, routing, sessions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2</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ANL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Analytics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Projections, calculations, modeling</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6</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AUD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Audience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Segmentation, targeting, LTV</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5</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CHA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Channel</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Channel selection, mix optimization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SPO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Supply Path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Programmatic optimization, fees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DOC</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Document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Report generation, templates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PRF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Performance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Attribution, anomaly detection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CST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Consulting Strategy</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Strategic frameworks, prioritization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CHG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Change Mgmt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Adoption, stakeholder mapping</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Consulting Analysis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Business cases, financial analysis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w:t>
            </w:r>
          </w:p>
        </w:tc>
      </w:tr>
    </w:tbl>
    <w:p>
      <w:pPr>
        <w:spacing w:after="300"/>
      </w:pPr>
    </w:p>
    <w:p>
      <w:pPr>
        <w:pStyle w:val="Heading1"/>
      </w:pPr>
      <w:r>
        <w:t xml:space="preserve">5. Security Posture</w:t>
      </w:r>
    </w:p>
    <w:p>
      <w:pPr>
        <w:pStyle w:val="Heading2"/>
      </w:pPr>
      <w:r>
        <w:t xml:space="preserve">5.1 DLP Compliance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Security Control</w:t>
            </w:r>
          </w:p>
        </w:tc>
        <w:tc>
          <w:tcPr>
            <w:tcW w:type="dxa" w:w="586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Implementation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No External HTTP</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All computation via AI Builder</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No Custom Connectors</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Only Mastercard-approved connectors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Data Residency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All data in Mastercard Dataverse tenant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Access Control</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Azure AD with role-based permissions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Audit Logging</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All invocations logged to eap_telemetry</w:t>
            </w:r>
          </w:p>
        </w:tc>
      </w:tr>
    </w:tbl>
    <w:p>
      <w:pPr>
        <w:spacing w:after="300"/>
      </w:pPr>
    </w:p>
    <w:p>
      <w:pPr>
        <w:pStyle w:val="Heading1"/>
      </w:pPr>
      <w:r>
        <w:t xml:space="preserve">6. Integration &amp; Quality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000"/>
        <w:gridCol w:w="1860"/>
      </w:tblGrid>
      <w:tr>
        <w:tc>
          <w:tcPr>
            <w:tcW w:type="dxa" w:w="3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Metric</w:t>
            </w:r>
          </w:p>
        </w:tc>
        <w:tc>
          <w:tcPr>
            <w:tcW w:type="dxa" w:w="25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Target</w:t>
            </w:r>
          </w:p>
        </w:tc>
        <w:tc>
          <w:tcPr>
            <w:tcW w:type="dxa" w:w="2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Current</w:t>
            </w:r>
          </w:p>
        </w:tc>
        <w:tc>
          <w:tcPr>
            <w:tcW w:type="dxa" w:w="186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Status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Response Latency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&lt; 5 seconds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3.2s avg</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Met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Availability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99.9%</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99.95%</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Met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Accuracy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&gt; 95%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97.2%</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Met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Test Pass Rate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100%</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Met</w:t>
            </w:r>
          </w:p>
        </w:tc>
      </w:tr>
    </w:tbl>
    <w:p>
      <w:pPr>
        <w:spacing w:after="300"/>
      </w:pPr>
    </w:p>
    <w:p>
      <w:pPr>
        <w:pStyle w:val="Heading1"/>
      </w:pPr>
      <w:r>
        <w:t xml:space="preserve">7. Extensibility</w:t>
      </w:r>
    </w:p>
    <w:p>
      <w:r>
        <w:t xml:space="preserve">MCMAP is designed so expanding capabilities does not require code changes. New domains added through configuration:</w:t>
      </w:r>
    </w:p>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c>
          <w:tcPr>
            <w:tcW w:type="dxa" w:w="35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Expansion Type</w:t>
            </w:r>
          </w:p>
        </w:tc>
        <w:tc>
          <w:tcPr>
            <w:tcW w:type="dxa" w:w="3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Time to Deploy</w:t>
            </w:r>
          </w:p>
        </w:tc>
        <w:tc>
          <w:tcPr>
            <w:tcW w:type="dxa" w:w="286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rPr>
              <w:t xml:space="preserve">Who Can Do It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New Industry Vertical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1-2 weeks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Content team</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New Subject Area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2-3 days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SMEs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New Benchmarks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Hours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Data analysts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New Agent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~2 weeks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Platform team</w:t>
            </w:r>
          </w:p>
        </w:tc>
      </w:tr>
    </w:tbl>
    <w:p>
      <w:pPr>
        <w:spacing w:after="400"/>
      </w:pPr>
    </w:p>
    <w:p>
      <w:pPr>
        <w:spacing w:before="400"/>
        <w:jc w:val="center"/>
      </w:pPr>
      <w:r>
        <w:rPr>
          <w:color w:val="666666"/>
          <w:sz w:val="20"/>
          <w:szCs w:val="20"/>
        </w:rPr>
        <w:t xml:space="preserve">Document Version: 2.0 | Classification: Mastercard Internal | Last Updated: January 25,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Mastercard Internal | 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MCMAP Executive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FF5F00"/>
      <w:sz w:val="36"/>
      <w:szCs w:val="36"/>
    </w:rPr>
  </w:style>
  <w:style w:type="paragraph" w:styleId="Heading2">
    <w:name w:val="Heading 2"/>
    <w:basedOn w:val="Normal"/>
    <w:next w:val="Normal"/>
    <w:qFormat/>
    <w:pPr>
      <w:spacing w:before="300" w:after="150"/>
      <w:outlineLvl w:val="1"/>
    </w:pPr>
    <w:rPr>
      <w:rFonts w:ascii="Arial" w:cs="Arial" w:eastAsia="Arial" w:hAnsi="Arial"/>
      <w:b/>
      <w:bCs/>
      <w:color w:val="FF5F00"/>
      <w:sz w:val="28"/>
      <w:szCs w:val="28"/>
    </w:rPr>
  </w:style>
  <w:style w:type="paragraph" w:styleId="Heading3">
    <w:name w:val="Heading 3"/>
    <w:basedOn w:val="Normal"/>
    <w:next w:val="Normal"/>
    <w:qFormat/>
    <w:pPr>
      <w:spacing w:before="240" w:after="12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2026-01-25T18:47:20.810Z</dcterms:created>
  <dcterms:modified xsi:type="dcterms:W3CDTF">2026-01-25T18:47:20.811Z</dcterms:modified>
</cp:coreProperties>
</file>

<file path=docProps/custom.xml><?xml version="1.0" encoding="utf-8"?>
<Properties xmlns="http://schemas.openxmlformats.org/officeDocument/2006/custom-properties" xmlns:vt="http://schemas.openxmlformats.org/officeDocument/2006/docPropsVTypes"/>
</file>