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5F00" w:val="clear"/>
            <w:tcMar>
              <w:top w:type="dxa" w:w="400"/>
              <w:left w:type="dxa" w:w="200"/>
              <w:bottom w:type="dxa" w:w="400"/>
              <w:right w:type="dxa" w:w="200"/>
            </w:tcMar>
          </w:tcPr>
          <w:p>
            <w:pPr>
              <w:jc w:val="center"/>
            </w:pPr>
            <w:r>
              <w:rPr>
                <w:rFonts w:ascii="Arial" w:cs="Arial" w:eastAsia="Arial" w:hAnsi="Arial"/>
                <w:b/>
                <w:bCs/>
                <w:color w:val="FFFFFF"/>
                <w:sz w:val="56"/>
                <w:szCs w:val="56"/>
              </w:rPr>
              <w:t xml:space="preserve">MASTERCARD</w:t>
            </w:r>
          </w:p>
        </w:tc>
      </w:tr>
    </w:tbl>
    <w:p>
      <w:pPr>
        <w:spacing w:after="800"/>
      </w:pPr>
    </w:p>
    <w:p>
      <w:pPr>
        <w:spacing w:after="100"/>
        <w:jc w:val="center"/>
      </w:pPr>
      <w:r>
        <w:rPr>
          <w:rFonts w:ascii="Arial" w:cs="Arial" w:eastAsia="Arial" w:hAnsi="Arial"/>
          <w:b/>
          <w:bCs/>
          <w:color w:val="FF5F00"/>
          <w:sz w:val="44"/>
          <w:szCs w:val="44"/>
        </w:rPr>
        <w:t xml:space="preserve">CONSULTING &amp; MARKETING</w:t>
      </w:r>
    </w:p>
    <w:p>
      <w:pPr>
        <w:spacing w:after="400"/>
        <w:jc w:val="center"/>
      </w:pPr>
      <w:r>
        <w:rPr>
          <w:rFonts w:ascii="Arial" w:cs="Arial" w:eastAsia="Arial" w:hAnsi="Arial"/>
          <w:b/>
          <w:bCs/>
          <w:color w:val="FF5F00"/>
          <w:sz w:val="56"/>
          <w:szCs w:val="56"/>
        </w:rPr>
        <w:t xml:space="preserve">AGENT PLATFORM</w:t>
      </w:r>
    </w:p>
    <w:tbl>
      <w:tblPr>
        <w:tblW w:type="pct" w:w="40%"/>
        <w:tblBorders>
          <w:top w:val="single" w:color="auto" w:sz="4"/>
          <w:left w:val="single" w:color="auto" w:sz="4"/>
          <w:bottom w:val="single" w:color="auto" w:sz="4"/>
          <w:right w:val="single" w:color="auto" w:sz="4"/>
          <w:insideH w:val="single" w:color="auto" w:sz="4"/>
          <w:insideV w:val="single" w:color="auto" w:sz="4"/>
        </w:tblBorders>
      </w:tblPr>
      <w:tblGrid>
        <w:gridCol w:w="3744"/>
      </w:tblGrid>
      <w:tr>
        <w:tc>
          <w:tcPr>
            <w:tcW w:type="dxa" w:w="3744"/>
            <w:shd w:fill="CC4C00" w:val="clear"/>
            <w:tcMar>
              <w:top w:type="dxa" w:w="40"/>
              <w:bottom w:type="dxa" w:w="40"/>
            </w:tcMar>
          </w:tcPr>
          <w:p>
            <w:r>
              <w:rPr>
                <w:sz w:val="8"/>
                <w:szCs w:val="8"/>
              </w:rPr>
              <w:t xml:space="preserve"> </w:t>
            </w:r>
          </w:p>
        </w:tc>
      </w:tr>
    </w:tbl>
    <w:p>
      <w:pPr>
        <w:spacing w:after="400"/>
      </w:pPr>
    </w:p>
    <w:p>
      <w:pPr>
        <w:spacing w:after="200"/>
        <w:jc w:val="center"/>
      </w:pPr>
      <w:r>
        <w:rPr>
          <w:rFonts w:ascii="Arial" w:cs="Arial" w:eastAsia="Arial" w:hAnsi="Arial"/>
          <w:color w:val="CC4C00"/>
          <w:sz w:val="36"/>
          <w:szCs w:val="36"/>
        </w:rPr>
        <w:t xml:space="preserve">EXECUTIVE REFERENCE PACKET</w:t>
      </w:r>
    </w:p>
    <w:p>
      <w:pPr>
        <w:spacing w:after="800"/>
        <w:jc w:val="center"/>
      </w:pPr>
      <w:r>
        <w:rPr>
          <w:rFonts w:ascii="Arial" w:cs="Arial" w:eastAsia="Arial" w:hAnsi="Arial"/>
          <w:b/>
          <w:bCs/>
          <w:color w:val="666666"/>
          <w:sz w:val="28"/>
          <w:szCs w:val="28"/>
        </w:rPr>
        <w:t xml:space="preserve">( MCMAP )</w:t>
      </w:r>
    </w:p>
    <w:p>
      <w:pPr>
        <w:spacing w:after="600"/>
      </w:pP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tblGrid>
      <w:tr>
        <w:tc>
          <w:tcPr>
            <w:tcW w:type="dxa" w:w="6560"/>
            <w:gridSpan w:val="2"/>
            <w:shd w:fill="FF5F00" w:val="clear"/>
            <w:tcMar>
              <w:top w:type="dxa" w:w="120"/>
              <w:left w:type="dxa" w:w="200"/>
              <w:bottom w:type="dxa" w:w="120"/>
              <w:right w:type="dxa" w:w="200"/>
            </w:tcMar>
          </w:tcPr>
          <w:p>
            <w:pPr>
              <w:jc w:val="center"/>
            </w:pPr>
            <w:r>
              <w:rPr>
                <w:b/>
                <w:bCs/>
                <w:color w:val="FFFFFF"/>
                <w:sz w:val="24"/>
                <w:szCs w:val="24"/>
              </w:rPr>
              <w:t xml:space="preserve">DOCUMENT INFORMATION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b/>
                <w:bCs/>
                <w:sz w:val="22"/>
                <w:szCs w:val="22"/>
              </w:rPr>
              <w:t xml:space="preserve">Version</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3.0</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b/>
                <w:bCs/>
                <w:sz w:val="22"/>
                <w:szCs w:val="22"/>
              </w:rPr>
              <w:t xml:space="preserve">Date</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January 25, 2026</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b/>
                <w:bCs/>
                <w:sz w:val="22"/>
                <w:szCs w:val="22"/>
              </w:rPr>
              <w:t xml:space="preserve">Classification</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Mastercard Internal</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b/>
                <w:bCs/>
                <w:sz w:val="22"/>
                <w:szCs w:val="22"/>
              </w:rPr>
              <w:t xml:space="preserve">Status</w:t>
            </w:r>
          </w:p>
        </w:tc>
        <w:tc>
          <w:tcPr>
            <w:tcW w:type="dxa" w:w="35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color w:val="2E7D32"/>
                <w:sz w:val="22"/>
                <w:szCs w:val="22"/>
              </w:rPr>
              <w:t xml:space="preserve">Production Ready</w:t>
            </w:r>
          </w:p>
        </w:tc>
      </w:tr>
    </w:tbl>
    <w:p>
      <w:pPr>
        <w:spacing w:after="800"/>
      </w:pPr>
    </w:p>
    <w:p>
      <w:pPr>
        <w:jc w:val="center"/>
      </w:pPr>
      <w:r>
        <w:rPr>
          <w:i/>
          <w:iCs/>
          <w:color w:val="666666"/>
          <w:sz w:val="24"/>
          <w:szCs w:val="24"/>
        </w:rPr>
        <w:t xml:space="preserve">Enterprise AI Platform for Media Planning &amp; Strategic Consulting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Strategic Value Proposition</w:t>
      </w:r>
    </w:p>
    <w:p>
      <w:pPr>
        <w:pBdr>
          <w:top w:val="single" w:color="FF5F00" w:sz="1"/>
          <w:bottom w:val="single" w:color="FF5F00" w:sz="1"/>
          <w:left w:val="single" w:color="FF5F00" w:sz="1"/>
          <w:right w:val="single" w:color="FF5F00" w:sz="1"/>
        </w:pBdr>
        <w:shd w:fill="E8F4F8" w:val="clear"/>
        <w:spacing w:before="200" w:after="200"/>
      </w:pPr>
      <w:r>
        <w:rPr>
          <w:b/>
          <w:bCs/>
          <w:sz w:val="28"/>
          <w:szCs w:val="28"/>
        </w:rPr>
        <w:t xml:space="preserve">EXECUTIVE OVERVIEW</w:t>
      </w:r>
    </w:p>
    <w:p>
      <w:r>
        <w:t xml:space="preserve">MCMAP is an enterprise AI platform that delivers two production-ready capabilities today—Media Planning and Strategic Consulting Support—while establishing the architectural foundation for unlimited expansion across Mastercard's service portfolio.</w:t>
      </w:r>
    </w:p>
    <w:p>
      <w:pPr>
        <w:spacing w:after="200"/>
      </w:pPr>
    </w:p>
    <w:p>
      <w:r>
        <w:rPr>
          <w:b/>
          <w:bCs/>
        </w:rPr>
        <w:t xml:space="preserve">What exists today:</w:t>
      </w:r>
    </w:p>
    <w:p>
      <w:r>
        <w:t xml:space="preserve">10 specialized AI agents | 36 analytical capabilities | 15 industry verticals | 37+ knowledge base documents | Full enterprise integration | Production-ready</w:t>
      </w:r>
    </w:p>
    <w:p>
      <w:pPr>
        <w:spacing w:after="200"/>
      </w:pPr>
    </w:p>
    <w:p>
      <w:r>
        <w:rPr>
          <w:b/>
          <w:bCs/>
        </w:rPr>
        <w:t xml:space="preserve">What it cost to build:</w:t>
      </w:r>
    </w:p>
    <w:p>
      <w:r>
        <w:t xml:space="preserve">One person. ~100 hours. Under $3,000.</w:t>
      </w:r>
    </w:p>
    <w:p>
      <w:pPr>
        <w:spacing w:after="200"/>
      </w:pPr>
    </w:p>
    <w:p>
      <w:r>
        <w:rPr>
          <w:b/>
          <w:bCs/>
        </w:rPr>
        <w:t xml:space="preserve">The strategic insight:</w:t>
      </w:r>
    </w:p>
    <w:p>
      <w:r>
        <w:t xml:space="preserve">Media Planning and Consulting Support are not the product—they are the first two proofs of concept demonstrating what MCMAP can do. The platform architecture that powers them is the real product, designed to extend into any domain where expertise can be encoded.</w:t>
      </w:r>
    </w:p>
    <w:p>
      <w:pPr>
        <w:spacing w:after="200"/>
      </w:pPr>
    </w:p>
    <w:p>
      <w:r>
        <w:rPr>
          <w:b/>
          <w:bCs/>
        </w:rPr>
        <w:t xml:space="preserve">The opportunity in front of us:</w:t>
      </w:r>
    </w:p>
    <w:p>
      <w:r>
        <w:rPr>
          <w:i/>
          <w:iCs/>
        </w:rPr>
        <w:t xml:space="preserve">If one person built this—imagine what we could build if Mastercard applied its full resources.</w:t>
      </w:r>
    </w:p>
    <w:p>
      <w:pPr>
        <w:spacing w:after="300"/>
      </w:pPr>
    </w:p>
    <w:p>
      <w:r>
        <w:br w:type="page"/>
      </w:r>
    </w:p>
    <w:p>
      <w:pPr>
        <w:pStyle w:val="Heading2"/>
      </w:pPr>
      <w:r>
        <w:t xml:space="preserve">1.2 USE CASE 1: Media Planning Agent (MPA)</w:t>
      </w:r>
    </w:p>
    <w:p>
      <w:pPr>
        <w:pStyle w:val="Heading3"/>
      </w:pPr>
      <w:r>
        <w:t xml:space="preserve">What It Does</w:t>
      </w:r>
    </w:p>
    <w:p>
      <w:r>
        <w:t xml:space="preserve">The Media Planning Agent transforms media brief development from blank-page guesswork into an intelligent, step-by-step workflow that continuously optimizes toward campaign success. Rather than dumping requirements into a document template, planners engage with an AI system that guides them through 10 critical planning areas while continuously validating, forecasting, and recalculating to ensure the final plan will deliver optimal real-world performance.</w:t>
      </w:r>
    </w:p>
    <w:p>
      <w:pPr>
        <w:spacing w:after="300"/>
      </w:pPr>
    </w:p>
    <w:p>
      <w:pPr>
        <w:pStyle w:val="Heading3"/>
      </w:pPr>
      <w:r>
        <w:t xml:space="preserve">How It Works: The 10-Step Intelligent Workflow</w:t>
      </w:r>
    </w:p>
    <w:p>
      <w:r>
        <w:t xml:space="preserve">MPA operates as a strategic partner, not a form-filler. At each step, it combines multiple intelligence sources—knowledge base retrieval (RAG), self-referential learning from the current session, predictive modeling, and real-time recalculation—to proactively guide users toward better decisions.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FF5F00" w:val="clear"/>
            <w:tcMar>
              <w:top w:type="dxa" w:w="80"/>
              <w:left w:type="dxa" w:w="120"/>
              <w:bottom w:type="dxa" w:w="80"/>
              <w:right w:type="dxa" w:w="120"/>
            </w:tcMar>
          </w:tcPr>
          <w:p>
            <w:r>
              <w:rPr>
                <w:b/>
                <w:bCs/>
                <w:color w:val="FFFFFF"/>
              </w:rPr>
              <w:t xml:space="preserve">Step</w:t>
            </w:r>
          </w:p>
        </w:tc>
        <w:tc>
          <w:tcPr>
            <w:tcW w:type="dxa" w:w="2200"/>
            <w:tcBorders>
              <w:top w:val="single" w:color="CCCCCC" w:sz="1"/>
              <w:left w:val="single" w:color="CCCCCC" w:sz="1"/>
              <w:bottom w:val="single" w:color="CCCCCC" w:sz="1"/>
              <w:right w:val="single" w:color="CCCCCC" w:sz="1"/>
            </w:tcBorders>
            <w:shd w:fill="FF5F00" w:val="clear"/>
            <w:tcMar>
              <w:top w:type="dxa" w:w="80"/>
              <w:left w:type="dxa" w:w="120"/>
              <w:bottom w:type="dxa" w:w="80"/>
              <w:right w:type="dxa" w:w="120"/>
            </w:tcMar>
          </w:tcPr>
          <w:p>
            <w:r>
              <w:rPr>
                <w:b/>
                <w:bCs/>
                <w:color w:val="FFFFFF"/>
              </w:rPr>
              <w:t xml:space="preserve">Planning Area</w:t>
            </w:r>
          </w:p>
        </w:tc>
        <w:tc>
          <w:tcPr>
            <w:tcW w:type="dxa" w:w="6360"/>
            <w:tcBorders>
              <w:top w:val="single" w:color="CCCCCC" w:sz="1"/>
              <w:left w:val="single" w:color="CCCCCC" w:sz="1"/>
              <w:bottom w:val="single" w:color="CCCCCC" w:sz="1"/>
              <w:right w:val="single" w:color="CCCCCC" w:sz="1"/>
            </w:tcBorders>
            <w:shd w:fill="FF5F00" w:val="clear"/>
            <w:tcMar>
              <w:top w:type="dxa" w:w="80"/>
              <w:left w:type="dxa" w:w="120"/>
              <w:bottom w:type="dxa" w:w="80"/>
              <w:right w:type="dxa" w:w="120"/>
            </w:tcMar>
          </w:tcPr>
          <w:p>
            <w:r>
              <w:rPr>
                <w:b/>
                <w:bCs/>
                <w:color w:val="FFFFFF"/>
              </w:rPr>
              <w:t xml:space="preserve">Intelligence Applied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Objectives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Guides users to set measurable KPIs. Cross-references industry benchmarks via RAG. Validates objective feasibility against budget constraints through predictive modeling.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Recommends segmentation based on objectives. Retrieves industry-specific audience profiles from KB. Calculates LTV and propensity scores. Predicts audience reach and overlap across channels.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Channels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Suggests optimal channel mix using marginal returns analysis. Recalculates budget allocation as channels are added/removed. Forecasts performance by channel based on audience fit and historical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Runs scenario modeling across budget levels. Predicts diminishing returns curves. Calculates expected ROAS by channel. Continuously recalculates as upstream inputs change.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Retrieves best practices from KB by vertical and channel. Suggests messaging hierarchy based on funnel stage. Validates creative strategy alignment with objectives.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Flighting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Optimizes budget distribution across time periods. Forecasts seasonality impacts. Recalculates flight performance as budget or objectives shift.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Attribution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Recommends measurement approach based on objectives and channels. Suggests multi-touch attribution models. Validates feasibility of measurement requirements.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Runs comprehensive quality gates. Checks objective-channel-budget alignment. Identifies gaps or conflicts. Recalculates overall plan performance against success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Generates platform-specific tactical plans. Maps creative requirements. Produces ready-to-execute campaign specifications. Optionally pushes plans to execution platforms via 2-way API.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Optimization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Establishes ongoing performance monitoring. Suggests optimization triggers. Predicts when and how to reallocate budget based on early performance signals.</w:t>
            </w:r>
          </w:p>
        </w:tc>
      </w:tr>
    </w:tbl>
    <w:p>
      <w:pPr>
        <w:spacing w:after="300"/>
      </w:pPr>
    </w:p>
    <w:p>
      <w:pPr>
        <w:pStyle w:val="Heading3"/>
      </w:pPr>
      <w:r>
        <w:t xml:space="preserve">Proactive Intelligence: How MPA Thinks</w:t>
      </w:r>
    </w:p>
    <w:p>
      <w:pPr>
        <w:pStyle w:val="ListParagraph"/>
        <w:numPr>
          <w:ilvl w:val="0"/>
          <w:numId w:val="2"/>
        </w:numPr>
      </w:pPr>
      <w:r>
        <w:rPr>
          <w:b/>
          <w:bCs/>
        </w:rPr>
        <w:t xml:space="preserve">Self-Referential Learning: </w:t>
      </w:r>
      <w:r>
        <w:t xml:space="preserve">MPA remembers everything within the current session. When you adjust the budget in Step 4, it automatically recalculates channel allocations, flight schedules, and expected ROAS—without being asked.</w:t>
      </w:r>
    </w:p>
    <w:p>
      <w:pPr>
        <w:pStyle w:val="ListParagraph"/>
        <w:numPr>
          <w:ilvl w:val="0"/>
          <w:numId w:val="2"/>
        </w:numPr>
      </w:pPr>
      <w:r>
        <w:rPr>
          <w:b/>
          <w:bCs/>
        </w:rPr>
        <w:t xml:space="preserve">Retrieval-Augmented Generation (RAG): </w:t>
      </w:r>
      <w:r>
        <w:t xml:space="preserve">Every recommendation pulls from 37+ curated knowledge base documents covering industry benchmarks, channel best practices, audience profiles, and proven methodologies. MPA doesn't hallucinate—it cites sources.</w:t>
      </w:r>
    </w:p>
    <w:p>
      <w:pPr>
        <w:pStyle w:val="ListParagraph"/>
        <w:numPr>
          <w:ilvl w:val="0"/>
          <w:numId w:val="2"/>
        </w:numPr>
      </w:pPr>
      <w:r>
        <w:rPr>
          <w:b/>
          <w:bCs/>
        </w:rPr>
        <w:t xml:space="preserve">Predictive Forecasting: </w:t>
      </w:r>
      <w:r>
        <w:t xml:space="preserve">MPA doesn't just record your plan—it predicts outcomes. Budget scenarios show expected ROAS curves. Channel additions trigger recalculated reach and frequency forecasts. Audience selections predict conversion probability.</w:t>
      </w:r>
    </w:p>
    <w:p>
      <w:pPr>
        <w:pStyle w:val="ListParagraph"/>
        <w:numPr>
          <w:ilvl w:val="0"/>
          <w:numId w:val="2"/>
        </w:numPr>
      </w:pPr>
      <w:r>
        <w:rPr>
          <w:b/>
          <w:bCs/>
        </w:rPr>
        <w:t xml:space="preserve">Continuous Recalculation: </w:t>
      </w:r>
      <w:r>
        <w:t xml:space="preserve">Every step validates against every other step. Change the objective from awareness to conversion? MPA instantly recalculates recommended channels, budget allocation, and creative messaging. The plan stays coherent automatically.</w:t>
      </w:r>
    </w:p>
    <w:p>
      <w:pPr>
        <w:spacing w:after="300"/>
      </w:pPr>
    </w:p>
    <w:p>
      <w:pPr>
        <w:pStyle w:val="Heading3"/>
      </w:pPr>
      <w:r>
        <w:t xml:space="preserve">Data Integration Capabilities</w:t>
      </w:r>
    </w:p>
    <w:p>
      <w:pPr>
        <w:pStyle w:val="ListParagraph"/>
        <w:numPr>
          <w:ilvl w:val="0"/>
          <w:numId w:val="2"/>
        </w:numPr>
      </w:pPr>
      <w:r>
        <w:rPr>
          <w:b/>
          <w:bCs/>
        </w:rPr>
        <w:t xml:space="preserve">Web Search (when DLP allows): </w:t>
      </w:r>
      <w:r>
        <w:t xml:space="preserve">MPA can search for real-time competitive intelligence, emerging platform features, recent campaign case studies—enriching recommendations with current market context.</w:t>
      </w:r>
    </w:p>
    <w:p>
      <w:pPr>
        <w:pStyle w:val="ListParagraph"/>
        <w:numPr>
          <w:ilvl w:val="0"/>
          <w:numId w:val="2"/>
        </w:numPr>
      </w:pPr>
      <w:r>
        <w:rPr>
          <w:b/>
          <w:bCs/>
        </w:rPr>
        <w:t xml:space="preserve">API Integration (when DLP allows): </w:t>
      </w:r>
      <w:r>
        <w:t xml:space="preserve">Connect to external data sources—CRM systems, audience platforms, measurement vendors—pulling live data into planning workflows.</w:t>
      </w:r>
    </w:p>
    <w:p>
      <w:pPr>
        <w:pStyle w:val="ListParagraph"/>
        <w:numPr>
          <w:ilvl w:val="0"/>
          <w:numId w:val="2"/>
        </w:numPr>
      </w:pPr>
      <w:r>
        <w:rPr>
          <w:b/>
          <w:bCs/>
        </w:rPr>
        <w:t xml:space="preserve">2-Way API for Execution: </w:t>
      </w:r>
      <w:r>
        <w:t xml:space="preserve">The ultimate vision: MPA doesn't just generate plans—it pushes them directly into campaign management platforms, DSPs, and measurement systems, closing the loop from strategy to activation.</w:t>
      </w:r>
    </w:p>
    <w:p>
      <w:pPr>
        <w:spacing w:after="300"/>
      </w:pPr>
    </w:p>
    <w:p>
      <w:pPr>
        <w:pStyle w:val="Heading3"/>
      </w:pPr>
      <w:r>
        <w:t xml:space="preserve">Core Outcome</w:t>
      </w:r>
    </w:p>
    <w:p>
      <w:pPr>
        <w:pBdr>
          <w:left w:val="single" w:color="CC4C00" w:sz="24"/>
        </w:pBdr>
        <w:shd w:fill="FFF3E0" w:val="clear"/>
        <w:spacing w:before="100" w:after="100"/>
        <w:ind w:left="200"/>
      </w:pPr>
      <w:r>
        <w:rPr>
          <w:b/>
          <w:bCs/>
        </w:rPr>
        <w:t xml:space="preserve">World-class media plans that deliver better campaign results than achievable through any other partner or platform—because MPA optimizes continuously, predicts accurately, and never forgets a detail.</w:t>
      </w:r>
    </w:p>
    <w:p>
      <w:pPr>
        <w:spacing w:after="300"/>
      </w:pPr>
    </w:p>
    <w:p>
      <w:r>
        <w:br w:type="page"/>
      </w:r>
    </w:p>
    <w:p>
      <w:pPr>
        <w:pStyle w:val="Heading2"/>
      </w:pPr>
      <w:r>
        <w:t xml:space="preserve">1.3 USE CASE 2: Consulting Agent (CA)</w:t>
      </w:r>
    </w:p>
    <w:p>
      <w:pPr>
        <w:pStyle w:val="Heading3"/>
      </w:pPr>
      <w:r>
        <w:t xml:space="preserve">What It Does</w:t>
      </w:r>
    </w:p>
    <w:p>
      <w:r>
        <w:t xml:space="preserve">The Consulting Agent accelerates and elevates the research, discovery, and assessment phases of strategic consulting projects. Rather than consultants starting from scratch or relying solely on their own experience, CA acts as an expert partner that refines their thinking, guides them toward the most appropriate analytical frameworks, and applies rigorous methodology to produce professional, consulting-grade outputs.</w:t>
      </w:r>
    </w:p>
    <w:p>
      <w:pPr>
        <w:spacing w:after="300"/>
      </w:pPr>
    </w:p>
    <w:p>
      <w:pPr>
        <w:pStyle w:val="Heading3"/>
      </w:pPr>
      <w:r>
        <w:t xml:space="preserve">How It Works: Intelligent Consulting Workflow</w:t>
      </w:r>
    </w:p>
    <w:p>
      <w:r>
        <w:t xml:space="preserve">CA operates through four core capabilities that work together to transform good consulting work into exceptional consulting work:</w:t>
      </w:r>
    </w:p>
    <w:p>
      <w:pPr>
        <w:spacing w:after="200"/>
      </w:pPr>
    </w:p>
    <w:p>
      <w:pPr>
        <w:pStyle w:val="Heading3"/>
      </w:pPr>
      <w:r>
        <w:t xml:space="preserve">1. Prompt Refinement &amp; Guidance</w:t>
      </w:r>
    </w:p>
    <w:p>
      <w:r>
        <w:t xml:space="preserve">Consultants don't always know how to articulate what they need. CA helps them get there:</w:t>
      </w:r>
    </w:p>
    <w:p>
      <w:pPr>
        <w:pStyle w:val="ListParagraph"/>
        <w:numPr>
          <w:ilvl w:val="0"/>
          <w:numId w:val="2"/>
        </w:numPr>
      </w:pPr>
      <w:r>
        <w:rPr>
          <w:b/>
          <w:bCs/>
        </w:rPr>
        <w:t xml:space="preserve">Clarifies Intent: </w:t>
      </w:r>
      <w:r>
        <w:t xml:space="preserve">When a consultant asks a vague question like 'analyze the competitive landscape,' CA asks targeted follow-up questions to understand industry, geography, competitive dimensions, and desired output format.</w:t>
      </w:r>
    </w:p>
    <w:p>
      <w:pPr>
        <w:pStyle w:val="ListParagraph"/>
        <w:numPr>
          <w:ilvl w:val="0"/>
          <w:numId w:val="2"/>
        </w:numPr>
      </w:pPr>
      <w:r>
        <w:rPr>
          <w:b/>
          <w:bCs/>
        </w:rPr>
        <w:t xml:space="preserve">Suggests Improvements: </w:t>
      </w:r>
      <w:r>
        <w:t xml:space="preserve">CA proactively identifies gaps in the prompt: 'You've asked about market size but haven't specified time horizon—would you like historical trends, current state, or growth projections?'</w:t>
      </w:r>
    </w:p>
    <w:p>
      <w:pPr>
        <w:pStyle w:val="ListParagraph"/>
        <w:numPr>
          <w:ilvl w:val="0"/>
          <w:numId w:val="2"/>
        </w:numPr>
      </w:pPr>
      <w:r>
        <w:rPr>
          <w:b/>
          <w:bCs/>
        </w:rPr>
        <w:t xml:space="preserve">Recommends Context: </w:t>
      </w:r>
      <w:r>
        <w:t xml:space="preserve">CA suggests additional context that would improve the analysis: 'For this type of market assessment, you'll want to consider regulatory environment, technological disruption, and adjacent market dynamics. Should I include those?'</w:t>
      </w:r>
    </w:p>
    <w:p>
      <w:pPr>
        <w:spacing w:after="200"/>
      </w:pPr>
    </w:p>
    <w:p>
      <w:pPr>
        <w:pStyle w:val="Heading3"/>
      </w:pPr>
      <w:r>
        <w:t xml:space="preserve">2. Framework Selection Assistance</w:t>
      </w:r>
    </w:p>
    <w:p>
      <w:r>
        <w:t xml:space="preserve">CA encodes 60+ strategic frameworks and guides consultants to the right one:</w:t>
      </w:r>
    </w:p>
    <w:p>
      <w:pPr>
        <w:pStyle w:val="ListParagraph"/>
        <w:numPr>
          <w:ilvl w:val="0"/>
          <w:numId w:val="2"/>
        </w:numPr>
      </w:pPr>
      <w:r>
        <w:rPr>
          <w:b/>
          <w:bCs/>
        </w:rPr>
        <w:t xml:space="preserve">Framework Discovery: </w:t>
      </w:r>
      <w:r>
        <w:t xml:space="preserve">Based on the project type and objectives, CA suggests the most relevant frameworks: 'For strategic positioning assessment, consider Porter's Five Forces, Blue Ocean Strategy, or Value Chain Analysis. Which dimension is most critical to your client?'</w:t>
      </w:r>
    </w:p>
    <w:p>
      <w:pPr>
        <w:pStyle w:val="ListParagraph"/>
        <w:numPr>
          <w:ilvl w:val="0"/>
          <w:numId w:val="2"/>
        </w:numPr>
      </w:pPr>
      <w:r>
        <w:rPr>
          <w:b/>
          <w:bCs/>
        </w:rPr>
        <w:t xml:space="preserve">Framework Comparison: </w:t>
      </w:r>
      <w:r>
        <w:t xml:space="preserve">CA explains trade-offs between frameworks: 'SWOT gives breadth but less depth. PESTEL is comprehensive but time-intensive. For this timeline and scope, I recommend starting with Porter's Five Forces.'</w:t>
      </w:r>
    </w:p>
    <w:p>
      <w:pPr>
        <w:pStyle w:val="ListParagraph"/>
        <w:numPr>
          <w:ilvl w:val="0"/>
          <w:numId w:val="2"/>
        </w:numPr>
      </w:pPr>
      <w:r>
        <w:rPr>
          <w:b/>
          <w:bCs/>
        </w:rPr>
        <w:t xml:space="preserve">Multi-Framework Application: </w:t>
      </w:r>
      <w:r>
        <w:t xml:space="preserve">For complex projects, CA suggests combining frameworks: 'Use McKinsey 7S for organizational assessment, then layer in Kotter's 8-Step for change roadmap, then validate with stakeholder power-interest grid.'</w:t>
      </w:r>
    </w:p>
    <w:p>
      <w:pPr>
        <w:spacing w:after="200"/>
      </w:pPr>
    </w:p>
    <w:p>
      <w:pPr>
        <w:pStyle w:val="Heading3"/>
      </w:pPr>
      <w:r>
        <w:t xml:space="preserve">3. Framework Application to Research</w:t>
      </w:r>
    </w:p>
    <w:p>
      <w:r>
        <w:t xml:space="preserve">Once the framework is selected, CA applies it rigorously:</w:t>
      </w:r>
    </w:p>
    <w:p>
      <w:pPr>
        <w:pStyle w:val="ListParagraph"/>
        <w:numPr>
          <w:ilvl w:val="0"/>
          <w:numId w:val="2"/>
        </w:numPr>
      </w:pPr>
      <w:r>
        <w:rPr>
          <w:b/>
          <w:bCs/>
        </w:rPr>
        <w:t xml:space="preserve">Structured Data Collection: </w:t>
      </w:r>
      <w:r>
        <w:t xml:space="preserve">CA breaks the framework into specific research questions. For Porter's Five Forces: 'Let's analyze supplier power. What percentage of inputs come from top 3 suppliers? Can suppliers integrate forward? What are switching costs?'</w:t>
      </w:r>
    </w:p>
    <w:p>
      <w:pPr>
        <w:pStyle w:val="ListParagraph"/>
        <w:numPr>
          <w:ilvl w:val="0"/>
          <w:numId w:val="2"/>
        </w:numPr>
      </w:pPr>
      <w:r>
        <w:rPr>
          <w:b/>
          <w:bCs/>
        </w:rPr>
        <w:t xml:space="preserve">Analysis Execution: </w:t>
      </w:r>
      <w:r>
        <w:t xml:space="preserve">CA applies the framework systematically, identifying patterns, contradictions, and implications. It doesn't just describe—it interprets.</w:t>
      </w:r>
    </w:p>
    <w:p>
      <w:pPr>
        <w:pStyle w:val="ListParagraph"/>
        <w:numPr>
          <w:ilvl w:val="0"/>
          <w:numId w:val="2"/>
        </w:numPr>
      </w:pPr>
      <w:r>
        <w:rPr>
          <w:b/>
          <w:bCs/>
        </w:rPr>
        <w:t xml:space="preserve">Evidence-Based Conclusions: </w:t>
      </w:r>
      <w:r>
        <w:t xml:space="preserve">Every insight is tied back to data or research findings. CA flags assumptions and highlights areas needing additional validation.</w:t>
      </w:r>
    </w:p>
    <w:p>
      <w:pPr>
        <w:spacing w:after="200"/>
      </w:pPr>
    </w:p>
    <w:p>
      <w:pPr>
        <w:pStyle w:val="Heading3"/>
      </w:pPr>
      <w:r>
        <w:t xml:space="preserve">4. Professional Consulting-Grade Outputs</w:t>
      </w:r>
    </w:p>
    <w:p>
      <w:r>
        <w:t xml:space="preserve">CA doesn't produce rough notes—it generates deliverable-ready content:</w:t>
      </w:r>
    </w:p>
    <w:p>
      <w:pPr>
        <w:pStyle w:val="ListParagraph"/>
        <w:numPr>
          <w:ilvl w:val="0"/>
          <w:numId w:val="2"/>
        </w:numPr>
      </w:pPr>
      <w:r>
        <w:rPr>
          <w:b/>
          <w:bCs/>
        </w:rPr>
        <w:t xml:space="preserve">Executive Summaries: </w:t>
      </w:r>
      <w:r>
        <w:t xml:space="preserve">Concise, actionable, with clear recommendations tied to strategic implications.</w:t>
      </w:r>
    </w:p>
    <w:p>
      <w:pPr>
        <w:pStyle w:val="ListParagraph"/>
        <w:numPr>
          <w:ilvl w:val="0"/>
          <w:numId w:val="2"/>
        </w:numPr>
      </w:pPr>
      <w:r>
        <w:rPr>
          <w:b/>
          <w:bCs/>
        </w:rPr>
        <w:t xml:space="preserve">Detailed Analysis: </w:t>
      </w:r>
      <w:r>
        <w:t xml:space="preserve">Structured findings with supporting evidence, comparative analysis, and quantified impacts where possible.</w:t>
      </w:r>
    </w:p>
    <w:p>
      <w:pPr>
        <w:pStyle w:val="ListParagraph"/>
        <w:numPr>
          <w:ilvl w:val="0"/>
          <w:numId w:val="2"/>
        </w:numPr>
      </w:pPr>
      <w:r>
        <w:rPr>
          <w:b/>
          <w:bCs/>
        </w:rPr>
        <w:t xml:space="preserve">Visual Frameworks: </w:t>
      </w:r>
      <w:r>
        <w:t xml:space="preserve">Formatted framework applications ready for client presentations—matrices, 2x2s, force diagrams.</w:t>
      </w:r>
    </w:p>
    <w:p>
      <w:pPr>
        <w:pStyle w:val="ListParagraph"/>
        <w:numPr>
          <w:ilvl w:val="0"/>
          <w:numId w:val="2"/>
        </w:numPr>
      </w:pPr>
      <w:r>
        <w:rPr>
          <w:b/>
          <w:bCs/>
        </w:rPr>
        <w:t xml:space="preserve">Implementation Roadmaps: </w:t>
      </w:r>
      <w:r>
        <w:t xml:space="preserve">When applying change management frameworks, CA produces phased rollout plans with milestones, owners, and success criteria.</w:t>
      </w:r>
    </w:p>
    <w:p>
      <w:pPr>
        <w:spacing w:after="300"/>
      </w:pPr>
    </w:p>
    <w:p>
      <w:pPr>
        <w:pStyle w:val="Heading3"/>
      </w:pPr>
      <w:r>
        <w:t xml:space="preserve">Intelligence Sources</w:t>
      </w:r>
    </w:p>
    <w:p>
      <w:pPr>
        <w:pStyle w:val="ListParagraph"/>
        <w:numPr>
          <w:ilvl w:val="0"/>
          <w:numId w:val="2"/>
        </w:numPr>
      </w:pPr>
      <w:r>
        <w:rPr>
          <w:b/>
          <w:bCs/>
        </w:rPr>
        <w:t xml:space="preserve">Knowledge Base (RAG): </w:t>
      </w:r>
      <w:r>
        <w:t xml:space="preserve">60+ framework templates, 35+ analytical models, industry-specific case studies, proven consulting methodologies.</w:t>
      </w:r>
    </w:p>
    <w:p>
      <w:pPr>
        <w:pStyle w:val="ListParagraph"/>
        <w:numPr>
          <w:ilvl w:val="0"/>
          <w:numId w:val="2"/>
        </w:numPr>
      </w:pPr>
      <w:r>
        <w:rPr>
          <w:b/>
          <w:bCs/>
        </w:rPr>
        <w:t xml:space="preserve">Web Search (when DLP allows): </w:t>
      </w:r>
      <w:r>
        <w:t xml:space="preserve">Real-time market data, recent industry reports, competitive intelligence, regulatory updates.</w:t>
      </w:r>
    </w:p>
    <w:p>
      <w:pPr>
        <w:pStyle w:val="ListParagraph"/>
        <w:numPr>
          <w:ilvl w:val="0"/>
          <w:numId w:val="2"/>
        </w:numPr>
      </w:pPr>
      <w:r>
        <w:rPr>
          <w:b/>
          <w:bCs/>
        </w:rPr>
        <w:t xml:space="preserve">Session Learning: </w:t>
      </w:r>
      <w:r>
        <w:t xml:space="preserve">CA remembers client context, previous analyses, and project-specific requirements throughout the engagement.</w:t>
      </w:r>
    </w:p>
    <w:p>
      <w:pPr>
        <w:spacing w:after="300"/>
      </w:pPr>
    </w:p>
    <w:p>
      <w:pPr>
        <w:pStyle w:val="Heading3"/>
      </w:pPr>
      <w:r>
        <w:t xml:space="preserve">Core Outcome</w:t>
      </w:r>
    </w:p>
    <w:p>
      <w:pPr>
        <w:pBdr>
          <w:left w:val="single" w:color="CC4C00" w:sz="24"/>
        </w:pBdr>
        <w:shd w:fill="FFF3E0" w:val="clear"/>
        <w:spacing w:before="100" w:after="100"/>
        <w:ind w:left="200"/>
      </w:pPr>
      <w:r>
        <w:rPr>
          <w:b/>
          <w:bCs/>
        </w:rPr>
        <w:t xml:space="preserve">Higher-quality research, discovery, and assessments that elevate every consulting deliverable—because CA ensures rigorous methodology, comprehensive analysis, and professional presentation every single time.</w:t>
      </w:r>
    </w:p>
    <w:p>
      <w:pPr>
        <w:spacing w:after="300"/>
      </w:pPr>
    </w:p>
    <w:p>
      <w:r>
        <w:br w:type="page"/>
      </w:r>
    </w:p>
    <w:p>
      <w:pPr>
        <w:pStyle w:val="Heading2"/>
      </w:pPr>
      <w:r>
        <w:t xml:space="preserve">1.4 The Platform Vision: Beyond Media and Consulting</w:t>
      </w:r>
    </w:p>
    <w:p>
      <w:r>
        <w:t xml:space="preserve">Media Planning and Consulting Support are proof points, not endpoints. The architectural decisions enable unlimited extension:</w:t>
      </w:r>
    </w:p>
    <w:p>
      <w:pPr>
        <w:spacing w:after="200"/>
      </w:pPr>
    </w:p>
    <w:p>
      <w:pPr>
        <w:pStyle w:val="ListParagraph"/>
        <w:numPr>
          <w:ilvl w:val="0"/>
          <w:numId w:val="2"/>
        </w:numPr>
      </w:pPr>
      <w:r>
        <w:rPr>
          <w:b/>
          <w:bCs/>
        </w:rPr>
        <w:t xml:space="preserve">Capability Abstraction Layer: </w:t>
      </w:r>
      <w:r>
        <w:t xml:space="preserve">Portable capabilities implementable on any stack.</w:t>
      </w:r>
    </w:p>
    <w:p>
      <w:pPr>
        <w:pStyle w:val="ListParagraph"/>
        <w:numPr>
          <w:ilvl w:val="0"/>
          <w:numId w:val="2"/>
        </w:numPr>
      </w:pPr>
      <w:r>
        <w:rPr>
          <w:b/>
          <w:bCs/>
        </w:rPr>
        <w:t xml:space="preserve">Shared Orchestration: </w:t>
      </w:r>
      <w:r>
        <w:t xml:space="preserve">ORC agent routes, manages sessions, enforces security across domains.</w:t>
      </w:r>
    </w:p>
    <w:p>
      <w:pPr>
        <w:pStyle w:val="ListParagraph"/>
        <w:numPr>
          <w:ilvl w:val="0"/>
          <w:numId w:val="2"/>
        </w:numPr>
      </w:pPr>
      <w:r>
        <w:rPr>
          <w:b/>
          <w:bCs/>
        </w:rPr>
        <w:t xml:space="preserve">Configuration-Driven Expansion: </w:t>
      </w:r>
      <w:r>
        <w:t xml:space="preserve">New verticals added through configuration, not code.</w:t>
      </w:r>
    </w:p>
    <w:p>
      <w:pPr>
        <w:spacing w:after="200"/>
      </w:pPr>
    </w:p>
    <w:p>
      <w:r>
        <w:rPr>
          <w:b/>
          <w:bCs/>
          <w:i/>
          <w:iCs/>
        </w:rPr>
        <w:t xml:space="preserve">The question is not 'what can MCMAP do?' The question is 'what does Mastercard want MCMAP to do next?'</w:t>
      </w:r>
    </w:p>
    <w:p>
      <w:pPr>
        <w:spacing w:after="300"/>
      </w:pPr>
    </w:p>
    <w:p>
      <w:pPr>
        <w:pStyle w:val="Heading1"/>
      </w:pPr>
      <w:r>
        <w:t xml:space="preserve">2. Platform Overview</w:t>
      </w:r>
    </w:p>
    <w:p>
      <w:r>
        <w:t xml:space="preserve">The Mastercard Consulting &amp; Marketing Agent Platform (MCMAP) is an enterprise AI system built entirely on Microsoft Power Platform. It deploys 10 specialized AI agents that collaborate across media planning, analytics, audience intelligence, and strategic consulting domains.</w:t>
      </w:r>
    </w:p>
    <w:p>
      <w:pPr>
        <w:spacing w:after="3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c>
          <w:tcPr>
            <w:tcW w:type="dxa" w:w="4000"/>
            <w:tcBorders>
              <w:top w:val="single" w:color="CCCCCC" w:sz="1"/>
              <w:left w:val="single" w:color="CCCCCC" w:sz="1"/>
              <w:bottom w:val="single" w:color="CCCCCC" w:sz="1"/>
              <w:right w:val="single" w:color="CCCCCC" w:sz="1"/>
            </w:tcBorders>
            <w:shd w:fill="FF5F00" w:val="clear"/>
            <w:tcMar>
              <w:top w:type="dxa" w:w="80"/>
              <w:left w:type="dxa" w:w="120"/>
              <w:bottom w:type="dxa" w:w="80"/>
              <w:right w:type="dxa" w:w="120"/>
            </w:tcMar>
          </w:tcPr>
          <w:p>
            <w:r>
              <w:rPr>
                <w:b/>
                <w:bCs/>
                <w:color w:val="FFFFFF"/>
              </w:rPr>
              <w:t xml:space="preserve">Metric</w:t>
            </w:r>
          </w:p>
        </w:tc>
        <w:tc>
          <w:tcPr>
            <w:tcW w:type="dxa" w:w="3000"/>
            <w:tcBorders>
              <w:top w:val="single" w:color="CCCCCC" w:sz="1"/>
              <w:left w:val="single" w:color="CCCCCC" w:sz="1"/>
              <w:bottom w:val="single" w:color="CCCCCC" w:sz="1"/>
              <w:right w:val="single" w:color="CCCCCC" w:sz="1"/>
            </w:tcBorders>
            <w:shd w:fill="FF5F00" w:val="clear"/>
            <w:tcMar>
              <w:top w:type="dxa" w:w="80"/>
              <w:left w:type="dxa" w:w="120"/>
              <w:bottom w:type="dxa" w:w="80"/>
              <w:right w:type="dxa" w:w="120"/>
            </w:tcMar>
          </w:tcPr>
          <w:p>
            <w:r>
              <w:rPr>
                <w:b/>
                <w:bCs/>
                <w:color w:val="FFFFFF"/>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Total Agents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Total Capabilities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AI Builder Prompts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Dataverse Tables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Knowledge Base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Industry Verticals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15</w:t>
            </w:r>
          </w:p>
        </w:tc>
      </w:tr>
    </w:tbl>
    <w:p>
      <w:pPr>
        <w:spacing w:after="300"/>
      </w:pPr>
    </w:p>
    <w:p>
      <w:pPr>
        <w:spacing w:before="400"/>
        <w:jc w:val="center"/>
      </w:pPr>
      <w:r>
        <w:rPr>
          <w:color w:val="666666"/>
          <w:sz w:val="20"/>
          <w:szCs w:val="20"/>
        </w:rPr>
        <w:t xml:space="preserve">Document Version: 3.0 | Classification: Mastercard Internal | Last Updated: January 25,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Mastercard Internal | 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MCMAP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5F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FF5F00"/>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2026-01-25T19:07:43.918Z</dcterms:created>
  <dcterms:modified xsi:type="dcterms:W3CDTF">2026-01-25T19:07:43.918Z</dcterms:modified>
</cp:coreProperties>
</file>

<file path=docProps/custom.xml><?xml version="1.0" encoding="utf-8"?>
<Properties xmlns="http://schemas.openxmlformats.org/officeDocument/2006/custom-properties" xmlns:vt="http://schemas.openxmlformats.org/officeDocument/2006/docPropsVTypes"/>
</file>