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MCMAP: Strategic Platform Vision</w:t>
      </w:r>
    </w:p>
    <w:p>
      <w:pPr>
        <w:spacing w:after="200"/>
      </w:pPr>
    </w:p>
    <w:p>
      <w:pPr>
        <w:pBdr>
          <w:left w:val="single" w:color="FF5F00" w:sz="24"/>
        </w:pBdr>
        <w:shd w:fill="FFF3E0" w:val="clear"/>
        <w:spacing w:before="100" w:after="100"/>
        <w:ind w:left="200"/>
      </w:pPr>
      <w:r>
        <w:rPr>
          <w:b/>
          <w:bCs/>
        </w:rPr>
        <w:t xml:space="preserve">MCMAP is not a media planning tool. It is an enterprise AI platform that happens to have launched with media planning as its first use case.</w:t>
      </w:r>
    </w:p>
    <w:p>
      <w:pPr>
        <w:spacing w:after="200"/>
      </w:pPr>
    </w:p>
    <w:p>
      <w:r>
        <w:t xml:space="preserve">Think of MCMAP the way you think about the iPhone: the phone was the initial application, but the real value was creating an ecosystem that turned millions of people into app developers and billions into app consumers. MCMAP does the same thing for enterprise AI agents.</w:t>
      </w:r>
    </w:p>
    <w:p>
      <w:pPr>
        <w:spacing w:after="300"/>
      </w:pPr>
    </w:p>
    <w:p>
      <w:pPr>
        <w:pStyle w:val="Heading2"/>
      </w:pPr>
      <w:r>
        <w:t xml:space="preserve">The Platform Opportunity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FF5F00" w:val="clear"/>
            <w:tcMar>
              <w:top w:type="dxa" w:w="60"/>
              <w:left w:type="dxa" w:w="100"/>
              <w:bottom w:type="dxa" w:w="60"/>
              <w:right w:type="dxa" w:w="100"/>
            </w:tcMar>
          </w:tcPr>
          <w:p>
            <w:r>
              <w:rPr>
                <w:b/>
                <w:bCs/>
                <w:color w:val="FFFFFF"/>
                <w:sz w:val="20"/>
                <w:szCs w:val="20"/>
              </w:rPr>
              <w:t xml:space="preserve">What It Appears To Be</w:t>
            </w:r>
          </w:p>
        </w:tc>
        <w:tc>
          <w:tcPr>
            <w:tcW w:type="dxa" w:w="4680"/>
            <w:tcBorders>
              <w:top w:val="single" w:color="CCCCCC" w:sz="1"/>
              <w:left w:val="single" w:color="CCCCCC" w:sz="1"/>
              <w:bottom w:val="single" w:color="CCCCCC" w:sz="1"/>
              <w:right w:val="single" w:color="CCCCCC" w:sz="1"/>
            </w:tcBorders>
            <w:shd w:fill="FF5F00" w:val="clear"/>
            <w:tcMar>
              <w:top w:type="dxa" w:w="60"/>
              <w:left w:type="dxa" w:w="100"/>
              <w:bottom w:type="dxa" w:w="60"/>
              <w:right w:type="dxa" w:w="100"/>
            </w:tcMar>
          </w:tcPr>
          <w:p>
            <w:r>
              <w:rPr>
                <w:b/>
                <w:bCs/>
                <w:color w:val="FFFFFF"/>
                <w:sz w:val="20"/>
                <w:szCs w:val="20"/>
              </w:rPr>
              <w:t xml:space="preserve">What It Actually Is</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A set of media planning agents</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An agent development platform</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A workflow automation tool</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An AI capability engine</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A consulting accelerator</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A gateway to enterprise AI transformation</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A point solution</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Infrastructure for an agent marketplace</w:t>
            </w:r>
          </w:p>
        </w:tc>
      </w:tr>
    </w:tbl>
    <w:p>
      <w:pPr>
        <w:spacing w:after="300"/>
      </w:pPr>
    </w:p>
    <w:p>
      <w:pPr>
        <w:pStyle w:val="Heading2"/>
      </w:pPr>
      <w:r>
        <w:t xml:space="preserve">Transforming Mastercard at Scale</w:t>
      </w:r>
    </w:p>
    <w:p>
      <w:r>
        <w:t xml:space="preserve">This platform provides immediate scale to the organization's consulting services, marketing, and data product revenue streams. It creates the ability to tie delivery services to core data and transactional services in ways no other company can match.</w:t>
      </w:r>
    </w:p>
    <w:p>
      <w:pPr>
        <w:spacing w:after="200"/>
      </w:pPr>
    </w:p>
    <w:p>
      <w:pPr>
        <w:pBdr>
          <w:left w:val="single" w:color="FF5F00" w:sz="24"/>
        </w:pBdr>
        <w:shd w:fill="FFF3E0" w:val="clear"/>
        <w:spacing w:before="100" w:after="100"/>
        <w:ind w:left="200"/>
      </w:pPr>
      <w:r>
        <w:rPr>
          <w:b/>
          <w:bCs/>
        </w:rPr>
        <w:t xml:space="preserve">MCMAP is the ultimate trojan horse—it ushers in radical transformation across the business by creating an impenetrable moat around Mastercard's capabilities.</w:t>
      </w:r>
    </w:p>
    <w:p>
      <w:pPr>
        <w:spacing w:after="200"/>
      </w:pPr>
    </w:p>
    <w:p>
      <w:r>
        <w:rPr>
          <w:b/>
          <w:bCs/>
        </w:rPr>
        <w:t xml:space="preserve">What it enables:</w:t>
      </w:r>
    </w:p>
    <w:p>
      <w:pPr>
        <w:pStyle w:val="ListParagraph"/>
        <w:numPr>
          <w:ilvl w:val="0"/>
          <w:numId w:val="2"/>
        </w:numPr>
      </w:pPr>
      <w:r>
        <w:t xml:space="preserve">Consultants and sales teams move at the speed of business</w:t>
      </w:r>
    </w:p>
    <w:p>
      <w:pPr>
        <w:pStyle w:val="ListParagraph"/>
        <w:numPr>
          <w:ilvl w:val="0"/>
          <w:numId w:val="2"/>
        </w:numPr>
      </w:pPr>
      <w:r>
        <w:t xml:space="preserve">Engineering and operational organizations support cutting edge business needs without overhead</w:t>
      </w:r>
    </w:p>
    <w:p>
      <w:pPr>
        <w:pStyle w:val="ListParagraph"/>
        <w:numPr>
          <w:ilvl w:val="0"/>
          <w:numId w:val="2"/>
        </w:numPr>
      </w:pPr>
      <w:r>
        <w:t xml:space="preserve">Front line staff can deploy solutions without engineering bottlenecks</w:t>
      </w:r>
    </w:p>
    <w:p>
      <w:pPr>
        <w:pStyle w:val="ListParagraph"/>
        <w:numPr>
          <w:ilvl w:val="0"/>
          <w:numId w:val="2"/>
        </w:numPr>
      </w:pPr>
      <w:r>
        <w:t xml:space="preserve">The entire organization moves AI efforts forward together</w:t>
      </w:r>
    </w:p>
    <w:p>
      <w:r>
        <w:br w:type="page"/>
      </w:r>
    </w:p>
    <w:p>
      <w:pPr>
        <w:pStyle w:val="Heading2"/>
      </w:pPr>
      <w:r>
        <w:t xml:space="preserve">The 11 Agents</w:t>
      </w:r>
    </w:p>
    <w:p>
      <w:r>
        <w:t xml:space="preserve">MCMAP currently deploys 11 specialized AI agents that collaborate to provide comprehensive support:</w:t>
      </w:r>
    </w:p>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1800"/>
        <w:gridCol w:w="4460"/>
      </w:tblGrid>
      <w:tr>
        <w:tc>
          <w:tcPr>
            <w:tcW w:type="dxa" w:w="2200"/>
            <w:tcBorders>
              <w:top w:val="single" w:color="CCCCCC" w:sz="1"/>
              <w:left w:val="single" w:color="CCCCCC" w:sz="1"/>
              <w:bottom w:val="single" w:color="CCCCCC" w:sz="1"/>
              <w:right w:val="single" w:color="CCCCCC" w:sz="1"/>
            </w:tcBorders>
            <w:shd w:fill="FF5F00" w:val="clear"/>
            <w:tcMar>
              <w:top w:type="dxa" w:w="60"/>
              <w:left w:type="dxa" w:w="100"/>
              <w:bottom w:type="dxa" w:w="60"/>
              <w:right w:type="dxa" w:w="100"/>
            </w:tcMar>
          </w:tcPr>
          <w:p>
            <w:r>
              <w:rPr>
                <w:b/>
                <w:bCs/>
                <w:color w:val="FFFFFF"/>
                <w:sz w:val="20"/>
                <w:szCs w:val="20"/>
              </w:rPr>
              <w:t xml:space="preserve">Agent</w:t>
            </w:r>
          </w:p>
        </w:tc>
        <w:tc>
          <w:tcPr>
            <w:tcW w:type="dxa" w:w="900"/>
            <w:tcBorders>
              <w:top w:val="single" w:color="CCCCCC" w:sz="1"/>
              <w:left w:val="single" w:color="CCCCCC" w:sz="1"/>
              <w:bottom w:val="single" w:color="CCCCCC" w:sz="1"/>
              <w:right w:val="single" w:color="CCCCCC" w:sz="1"/>
            </w:tcBorders>
            <w:shd w:fill="FF5F00" w:val="clear"/>
            <w:tcMar>
              <w:top w:type="dxa" w:w="60"/>
              <w:left w:type="dxa" w:w="100"/>
              <w:bottom w:type="dxa" w:w="60"/>
              <w:right w:type="dxa" w:w="100"/>
            </w:tcMar>
          </w:tcPr>
          <w:p>
            <w:r>
              <w:rPr>
                <w:b/>
                <w:bCs/>
                <w:color w:val="FFFFFF"/>
                <w:sz w:val="20"/>
                <w:szCs w:val="20"/>
              </w:rPr>
              <w:t xml:space="preserve">Code</w:t>
            </w:r>
          </w:p>
        </w:tc>
        <w:tc>
          <w:tcPr>
            <w:tcW w:type="dxa" w:w="1800"/>
            <w:tcBorders>
              <w:top w:val="single" w:color="CCCCCC" w:sz="1"/>
              <w:left w:val="single" w:color="CCCCCC" w:sz="1"/>
              <w:bottom w:val="single" w:color="CCCCCC" w:sz="1"/>
              <w:right w:val="single" w:color="CCCCCC" w:sz="1"/>
            </w:tcBorders>
            <w:shd w:fill="FF5F00" w:val="clear"/>
            <w:tcMar>
              <w:top w:type="dxa" w:w="60"/>
              <w:left w:type="dxa" w:w="100"/>
              <w:bottom w:type="dxa" w:w="60"/>
              <w:right w:type="dxa" w:w="100"/>
            </w:tcMar>
          </w:tcPr>
          <w:p>
            <w:r>
              <w:rPr>
                <w:b/>
                <w:bCs/>
                <w:color w:val="FFFFFF"/>
                <w:sz w:val="20"/>
                <w:szCs w:val="20"/>
              </w:rPr>
              <w:t xml:space="preserve">Domain</w:t>
            </w:r>
          </w:p>
        </w:tc>
        <w:tc>
          <w:tcPr>
            <w:tcW w:type="dxa" w:w="4460"/>
            <w:tcBorders>
              <w:top w:val="single" w:color="CCCCCC" w:sz="1"/>
              <w:left w:val="single" w:color="CCCCCC" w:sz="1"/>
              <w:bottom w:val="single" w:color="CCCCCC" w:sz="1"/>
              <w:right w:val="single" w:color="CCCCCC" w:sz="1"/>
            </w:tcBorders>
            <w:shd w:fill="FF5F00" w:val="clear"/>
            <w:tcMar>
              <w:top w:type="dxa" w:w="60"/>
              <w:left w:type="dxa" w:w="100"/>
              <w:bottom w:type="dxa" w:w="60"/>
              <w:right w:type="dxa" w:w="100"/>
            </w:tcMar>
          </w:tcPr>
          <w:p>
            <w:r>
              <w:rPr>
                <w:b/>
                <w:bCs/>
                <w:color w:val="FFFFFF"/>
                <w:sz w:val="20"/>
                <w:szCs w:val="20"/>
              </w:rPr>
              <w:t xml:space="preserve">Core Capabilities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Orchestrator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ORC</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Platform</w:t>
            </w:r>
          </w:p>
        </w:tc>
        <w:tc>
          <w:tcPr>
            <w:tcW w:type="dxa" w:w="44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Intent classification, routing, session mgmt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Analytics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ANL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Media</w:t>
            </w:r>
          </w:p>
        </w:tc>
        <w:tc>
          <w:tcPr>
            <w:tcW w:type="dxa" w:w="44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Projections, calculations, statistical modeling</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Audience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AUD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Media</w:t>
            </w:r>
          </w:p>
        </w:tc>
        <w:tc>
          <w:tcPr>
            <w:tcW w:type="dxa" w:w="44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Segmentation, targeting, LTV modeling</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Channel</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CHA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Media</w:t>
            </w:r>
          </w:p>
        </w:tc>
        <w:tc>
          <w:tcPr>
            <w:tcW w:type="dxa" w:w="44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Channel selection, mix optimization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Supply Path</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SPO</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Media</w:t>
            </w:r>
          </w:p>
        </w:tc>
        <w:tc>
          <w:tcPr>
            <w:tcW w:type="dxa" w:w="44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Programmatic optimization, fee transparency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Document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DOC</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Media</w:t>
            </w:r>
          </w:p>
        </w:tc>
        <w:tc>
          <w:tcPr>
            <w:tcW w:type="dxa" w:w="44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Report generation, template management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Performance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PRF</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Media</w:t>
            </w:r>
          </w:p>
        </w:tc>
        <w:tc>
          <w:tcPr>
            <w:tcW w:type="dxa" w:w="44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Attribution, anomaly detection, optimization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Consulting Strategy</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CST</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Consulting</w:t>
            </w:r>
          </w:p>
        </w:tc>
        <w:tc>
          <w:tcPr>
            <w:tcW w:type="dxa" w:w="44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Strategic frameworks, prioritization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Change Management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CHG</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Consulting</w:t>
            </w:r>
          </w:p>
        </w:tc>
        <w:tc>
          <w:tcPr>
            <w:tcW w:type="dxa" w:w="44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Adoption planning, stakeholder mapping</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Consulting Analysis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CA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Consulting</w:t>
            </w:r>
          </w:p>
        </w:tc>
        <w:tc>
          <w:tcPr>
            <w:tcW w:type="dxa" w:w="44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Business cases, financial analysis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Documentation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DOCS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Platform</w:t>
            </w:r>
          </w:p>
        </w:tc>
        <w:tc>
          <w:tcPr>
            <w:tcW w:type="dxa" w:w="44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Architecture discovery, terminology</w:t>
            </w:r>
          </w:p>
        </w:tc>
      </w:tr>
    </w:tbl>
    <w:p>
      <w:pPr>
        <w:spacing w:after="200"/>
      </w:pPr>
    </w:p>
    <w:p>
      <w:r>
        <w:rPr>
          <w:b/>
          <w:bCs/>
        </w:rPr>
        <w:t xml:space="preserve">Current Platform Metrics:</w:t>
      </w:r>
    </w:p>
    <w:p>
      <w:pPr>
        <w:pStyle w:val="ListParagraph"/>
        <w:numPr>
          <w:ilvl w:val="0"/>
          <w:numId w:val="2"/>
        </w:numPr>
      </w:pPr>
      <w:r>
        <w:t xml:space="preserve">36 analytical capabilities across 11 agents</w:t>
      </w:r>
    </w:p>
    <w:p>
      <w:pPr>
        <w:pStyle w:val="ListParagraph"/>
        <w:numPr>
          <w:ilvl w:val="0"/>
          <w:numId w:val="2"/>
        </w:numPr>
      </w:pPr>
      <w:r>
        <w:t xml:space="preserve">26 AI Builder prompts</w:t>
      </w:r>
    </w:p>
    <w:p>
      <w:pPr>
        <w:pStyle w:val="ListParagraph"/>
        <w:numPr>
          <w:ilvl w:val="0"/>
          <w:numId w:val="2"/>
        </w:numPr>
      </w:pPr>
      <w:r>
        <w:t xml:space="preserve">37+ knowledge base documents</w:t>
      </w:r>
    </w:p>
    <w:p>
      <w:pPr>
        <w:pStyle w:val="ListParagraph"/>
        <w:numPr>
          <w:ilvl w:val="0"/>
          <w:numId w:val="2"/>
        </w:numPr>
      </w:pPr>
      <w:r>
        <w:t xml:space="preserve">15 industry verticals</w:t>
      </w:r>
    </w:p>
    <w:p>
      <w:pPr>
        <w:pStyle w:val="ListParagraph"/>
        <w:numPr>
          <w:ilvl w:val="0"/>
          <w:numId w:val="2"/>
        </w:numPr>
      </w:pPr>
      <w:r>
        <w:t xml:space="preserve">708+ channel benchmarks</w:t>
      </w:r>
    </w:p>
    <w:p>
      <w:r>
        <w:br w:type="page"/>
      </w:r>
    </w:p>
    <w:p>
      <w:pPr>
        <w:pStyle w:val="Heading2"/>
      </w:pPr>
      <w:r>
        <w:t xml:space="preserve">Efficiency Gains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FF5F00" w:val="clear"/>
            <w:tcMar>
              <w:top w:type="dxa" w:w="60"/>
              <w:left w:type="dxa" w:w="100"/>
              <w:bottom w:type="dxa" w:w="60"/>
              <w:right w:type="dxa" w:w="100"/>
            </w:tcMar>
          </w:tcPr>
          <w:p>
            <w:r>
              <w:rPr>
                <w:b/>
                <w:bCs/>
                <w:color w:val="FFFFFF"/>
                <w:sz w:val="20"/>
                <w:szCs w:val="20"/>
              </w:rPr>
              <w:t xml:space="preserve">Area</w:t>
            </w:r>
          </w:p>
        </w:tc>
        <w:tc>
          <w:tcPr>
            <w:tcW w:type="dxa" w:w="4680"/>
            <w:tcBorders>
              <w:top w:val="single" w:color="CCCCCC" w:sz="1"/>
              <w:left w:val="single" w:color="CCCCCC" w:sz="1"/>
              <w:bottom w:val="single" w:color="CCCCCC" w:sz="1"/>
              <w:right w:val="single" w:color="CCCCCC" w:sz="1"/>
            </w:tcBorders>
            <w:shd w:fill="FF5F00" w:val="clear"/>
            <w:tcMar>
              <w:top w:type="dxa" w:w="60"/>
              <w:left w:type="dxa" w:w="100"/>
              <w:bottom w:type="dxa" w:w="60"/>
              <w:right w:type="dxa" w:w="100"/>
            </w:tcMar>
          </w:tcPr>
          <w:p>
            <w:r>
              <w:rPr>
                <w:b/>
                <w:bCs/>
                <w:color w:val="FFFFFF"/>
                <w:sz w:val="20"/>
                <w:szCs w:val="20"/>
              </w:rPr>
              <w:t xml:space="preserve">Impact</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Deliverable Creation</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70-90% reduction in time to produce documents</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Research &amp; Discovery</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60-80% acceleration in assessment phases</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Budget Analysis</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80-90% reduction in scenario modeling time</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Performance Reporting</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color w:val="000000"/>
                <w:sz w:val="20"/>
                <w:szCs w:val="20"/>
              </w:rPr>
              <w:t xml:space="preserve">85-95% reduction in report generation</w:t>
            </w:r>
          </w:p>
        </w:tc>
      </w:tr>
    </w:tbl>
    <w:p>
      <w:pPr>
        <w:spacing w:after="300"/>
      </w:pPr>
    </w:p>
    <w:p>
      <w:pPr>
        <w:pStyle w:val="Heading2"/>
      </w:pPr>
      <w:r>
        <w:t xml:space="preserve">Revenue Opportunities</w:t>
      </w:r>
    </w:p>
    <w:p>
      <w:pPr>
        <w:pStyle w:val="Heading3"/>
      </w:pPr>
      <w:r>
        <w:t xml:space="preserve">Higher Charged Rates and Margin</w:t>
      </w:r>
    </w:p>
    <w:p>
      <w:pPr>
        <w:pStyle w:val="ListParagraph"/>
        <w:numPr>
          <w:ilvl w:val="0"/>
          <w:numId w:val="2"/>
        </w:numPr>
      </w:pPr>
      <w:r>
        <w:t xml:space="preserve">Premium pricing for AI-enhanced services</w:t>
      </w:r>
    </w:p>
    <w:p>
      <w:pPr>
        <w:pStyle w:val="ListParagraph"/>
        <w:numPr>
          <w:ilvl w:val="0"/>
          <w:numId w:val="2"/>
        </w:numPr>
      </w:pPr>
      <w:r>
        <w:t xml:space="preserve">Minimum 6% margin improvement by eliminating third-party agency fees</w:t>
      </w:r>
    </w:p>
    <w:p>
      <w:pPr>
        <w:pStyle w:val="ListParagraph"/>
        <w:numPr>
          <w:ilvl w:val="0"/>
          <w:numId w:val="2"/>
        </w:numPr>
      </w:pPr>
      <w:r>
        <w:t xml:space="preserve">Significant growth from expanding media delivery portfolio</w:t>
      </w:r>
    </w:p>
    <w:p>
      <w:pPr>
        <w:spacing w:after="200"/>
      </w:pPr>
    </w:p>
    <w:p>
      <w:pPr>
        <w:pStyle w:val="Heading3"/>
      </w:pPr>
      <w:r>
        <w:t xml:space="preserve">Faster Sales Cycles</w:t>
      </w:r>
    </w:p>
    <w:p>
      <w:pPr>
        <w:pStyle w:val="ListParagraph"/>
        <w:numPr>
          <w:ilvl w:val="0"/>
          <w:numId w:val="2"/>
        </w:numPr>
      </w:pPr>
      <w:r>
        <w:t xml:space="preserve">Demonstrate live transformational capabilities to clients</w:t>
      </w:r>
    </w:p>
    <w:p>
      <w:pPr>
        <w:pStyle w:val="ListParagraph"/>
        <w:numPr>
          <w:ilvl w:val="0"/>
          <w:numId w:val="2"/>
        </w:numPr>
      </w:pPr>
      <w:r>
        <w:t xml:space="preserve">Demo live prototypes grounded in real-world, live data</w:t>
      </w:r>
    </w:p>
    <w:p>
      <w:pPr>
        <w:pStyle w:val="ListParagraph"/>
        <w:numPr>
          <w:ilvl w:val="0"/>
          <w:numId w:val="2"/>
        </w:numPr>
      </w:pPr>
      <w:r>
        <w:t xml:space="preserve">Pull sophisticated market and competitive data instantly</w:t>
      </w:r>
    </w:p>
    <w:p>
      <w:pPr>
        <w:spacing w:after="200"/>
      </w:pPr>
    </w:p>
    <w:p>
      <w:pPr>
        <w:pStyle w:val="Heading3"/>
      </w:pPr>
      <w:r>
        <w:t xml:space="preserve">New Revenue Channels</w:t>
      </w:r>
    </w:p>
    <w:p>
      <w:pPr>
        <w:pStyle w:val="ListParagraph"/>
        <w:numPr>
          <w:ilvl w:val="0"/>
          <w:numId w:val="2"/>
        </w:numPr>
      </w:pPr>
      <w:r>
        <w:rPr>
          <w:b/>
          <w:bCs/>
        </w:rPr>
        <w:t xml:space="preserve">Consulting and Development: </w:t>
      </w:r>
      <w:r>
        <w:t xml:space="preserve">AI tools built for and sold to clients</w:t>
      </w:r>
    </w:p>
    <w:p>
      <w:pPr>
        <w:pStyle w:val="ListParagraph"/>
        <w:numPr>
          <w:ilvl w:val="0"/>
          <w:numId w:val="2"/>
        </w:numPr>
      </w:pPr>
      <w:r>
        <w:rPr>
          <w:b/>
          <w:bCs/>
        </w:rPr>
        <w:t xml:space="preserve">Direct Product Sales: </w:t>
      </w:r>
      <w:r>
        <w:t xml:space="preserve">AI tools built and sold directly by MC</w:t>
      </w:r>
    </w:p>
    <w:p>
      <w:pPr>
        <w:pStyle w:val="ListParagraph"/>
        <w:numPr>
          <w:ilvl w:val="0"/>
          <w:numId w:val="2"/>
        </w:numPr>
      </w:pPr>
      <w:r>
        <w:rPr>
          <w:b/>
          <w:bCs/>
        </w:rPr>
        <w:t xml:space="preserve">Data &amp; Services Acceleration: </w:t>
      </w:r>
      <w:r>
        <w:t xml:space="preserve">New channel deployment for data products</w:t>
      </w:r>
    </w:p>
    <w:p>
      <w:pPr>
        <w:spacing w:after="300"/>
      </w:pPr>
    </w:p>
    <w:p>
      <w:pPr>
        <w:jc w:val="center"/>
      </w:pPr>
      <w:r>
        <w:rPr>
          <w:color w:val="666666"/>
          <w:sz w:val="18"/>
          <w:szCs w:val="18"/>
        </w:rPr>
        <w:t xml:space="preserve">Document Version: 2.0 | January 25, 2026</w:t>
      </w:r>
    </w:p>
    <w:sectPr>
      <w:headerReference w:type="default" r:id="rId6"/>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Mastercard Internal | Page </w:t>
    </w:r>
    <w:r>
      <w:rPr>
        <w:sz w:val="18"/>
        <w:szCs w:val="18"/>
      </w:rPr>
      <w:fldChar w:fldCharType="begin"/>
      <w:instrText xml:space="preserve">PAGE</w:instrText>
      <w:fldChar w:fldCharType="separate"/>
      <w:fldChar w:fldCharType="end"/>
    </w:r>
    <w:r>
      <w:rPr>
        <w:sz w:val="18"/>
        <w:szCs w:val="18"/>
      </w:rPr>
      <w:t xml:space="preserve"> of </w:t>
    </w:r>
    <w:r>
      <w:rPr>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MCMAP - Strategic 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50"/>
      <w:outlineLvl w:val="0"/>
    </w:pPr>
    <w:rPr>
      <w:rFonts w:ascii="Arial" w:cs="Arial" w:eastAsia="Arial" w:hAnsi="Arial"/>
      <w:b/>
      <w:bCs/>
      <w:color w:val="FF5F00"/>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FF5F00"/>
      <w:sz w:val="26"/>
      <w:szCs w:val="26"/>
    </w:rPr>
  </w:style>
  <w:style w:type="paragraph" w:styleId="Heading3">
    <w:name w:val="Heading 3"/>
    <w:basedOn w:val="Normal"/>
    <w:next w:val="Normal"/>
    <w:qFormat/>
    <w:pPr>
      <w:spacing w:before="200" w:after="100"/>
      <w:outlineLvl w:val="2"/>
    </w:pPr>
    <w:rPr>
      <w:rFonts w:ascii="Arial" w:cs="Arial" w:eastAsia="Arial" w:hAnsi="Arial"/>
      <w:b/>
      <w:bCs/>
      <w:color w:val="FF5F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2026-01-25T18:40:56.954Z</dcterms:created>
  <dcterms:modified xsi:type="dcterms:W3CDTF">2026-01-25T18:40:56.954Z</dcterms:modified>
</cp:coreProperties>
</file>

<file path=docProps/custom.xml><?xml version="1.0" encoding="utf-8"?>
<Properties xmlns="http://schemas.openxmlformats.org/officeDocument/2006/custom-properties" xmlns:vt="http://schemas.openxmlformats.org/officeDocument/2006/docPropsVTypes"/>
</file>