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Security &amp; Compliance</w:t>
      </w:r>
    </w:p>
    <w:p>
      <w:r>
        <w:t xml:space="preserve">MCMAP is specifically architected for Mastercard's enterprise security requirements with full DLP compliance.</w:t>
      </w:r>
    </w:p>
    <w:p>
      <w:pPr>
        <w:spacing w:after="300"/>
      </w:pPr>
    </w:p>
    <w:p>
      <w:pPr>
        <w:pStyle w:val="Heading2"/>
      </w:pPr>
      <w:r>
        <w:t xml:space="preserve">DLP Compliance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Security Control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Implementation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External HTTP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computation via AI Builder (no external API calls)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Custom Connectors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Uses only Mastercard-approved connectors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No Azure Functions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Enhanced compute disabled in Mastercard environment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Data Residency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data remains within Mastercard's Dataverse tenant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Access Control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Azure AD authentication with role-based permissions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Audit Logging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All capability invocations logged to eap_telemetry</w:t>
            </w:r>
          </w:p>
        </w:tc>
      </w:tr>
    </w:tbl>
    <w:p>
      <w:pPr>
        <w:spacing w:after="300"/>
      </w:pPr>
    </w:p>
    <w:p>
      <w:pPr>
        <w:pStyle w:val="Heading2"/>
      </w:pPr>
      <w:r>
        <w:t xml:space="preserve">Data Protection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PII Processing: </w:t>
      </w:r>
      <w:r>
        <w:t xml:space="preserve">System does not process personal customer data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Session Isolation: </w:t>
      </w:r>
      <w:r>
        <w:t xml:space="preserve">User sessions cannot access other users' data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Knowledge Base Read-Only: </w:t>
      </w:r>
      <w:r>
        <w:t xml:space="preserve">Agents cannot modify shared knowledge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Telemetry Anonymization: </w:t>
      </w:r>
      <w:r>
        <w:t xml:space="preserve">Logging excludes sensitive content</w:t>
      </w:r>
    </w:p>
    <w:p>
      <w:pPr>
        <w:spacing w:after="300"/>
      </w:pPr>
    </w:p>
    <w:p>
      <w:pPr>
        <w:pStyle w:val="Heading2"/>
      </w:pPr>
      <w:r>
        <w:t xml:space="preserve">ABAC Implementation</w:t>
      </w:r>
    </w:p>
    <w:p>
      <w:r>
        <w:t xml:space="preserve">Attribute-Based Access Control provides fine-grained content protection:</w:t>
      </w:r>
    </w:p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5F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Content Classification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Documents tagged with sensitivity levels and audience restrictions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User Profiles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eap_user_profile stores clearance levels and role assignments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Access Rules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YAML-based rule definitions for content filtering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Runtime Enforcement</w:t>
            </w:r>
          </w:p>
        </w:tc>
        <w:tc>
          <w:tcPr>
            <w:tcW w:type="dxa" w:w="6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ORC agent validates access before content delivery</w:t>
            </w:r>
          </w:p>
        </w:tc>
      </w:tr>
    </w:tbl>
    <w:p>
      <w:pPr>
        <w:spacing w:after="300"/>
      </w:pPr>
    </w:p>
    <w:p>
      <w:pPr>
        <w:jc w:val="center"/>
      </w:pPr>
      <w:r>
        <w:rPr>
          <w:color w:val="666666"/>
          <w:sz w:val="18"/>
          <w:szCs w:val="18"/>
        </w:rPr>
        <w:t xml:space="preserve">Document Version: 2.0 | January 25, 2026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Mastercard Internal | 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of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666666"/>
        <w:sz w:val="18"/>
        <w:szCs w:val="18"/>
      </w:rPr>
      <w:t xml:space="preserve">MCMAP - Security &amp; Compliance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50"/>
      <w:outlineLvl w:val="0"/>
    </w:pPr>
    <w:rPr>
      <w:rFonts w:ascii="Arial" w:cs="Arial" w:eastAsia="Arial" w:hAnsi="Arial"/>
      <w:b/>
      <w:bCs/>
      <w:color w:val="FF5F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FF5F00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Arial" w:cs="Arial" w:eastAsia="Arial" w:hAnsi="Arial"/>
      <w:b/>
      <w:bCs/>
      <w:color w:val="FF5F0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2026-01-25T18:41:01.025Z</dcterms:created>
  <dcterms:modified xsi:type="dcterms:W3CDTF">2026-01-25T18:41:01.026Z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