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Future Use Cases</w:t>
      </w:r>
    </w:p>
    <w:p>
      <w:r>
        <w:t xml:space="preserve">Strategic opportunities and expansion areas for MCMAP platform growth.</w:t>
      </w:r>
    </w:p>
    <w:p>
      <w:pPr>
        <w:spacing w:after="300"/>
      </w:pPr>
    </w:p>
    <w:p>
      <w:pPr>
        <w:pStyle w:val="Heading2"/>
      </w:pPr>
      <w:r>
        <w:t xml:space="preserve">Near-Term Opportunities (Q1-Q2 2026)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Sales Enablement Agent: </w:t>
      </w:r>
      <w:r>
        <w:t xml:space="preserve">Proposal generation, competitive intelligence, pitch materials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Client Success Agent: </w:t>
      </w:r>
      <w:r>
        <w:t xml:space="preserve">Health monitoring, renewal prediction, upsell identification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Treasury Services Integration: </w:t>
      </w:r>
      <w:r>
        <w:t xml:space="preserve">Financial analytics and forecasting capabilities</w:t>
      </w:r>
    </w:p>
    <w:p>
      <w:pPr>
        <w:spacing w:after="300"/>
      </w:pPr>
    </w:p>
    <w:p>
      <w:pPr>
        <w:pStyle w:val="Heading2"/>
      </w:pPr>
      <w:r>
        <w:t xml:space="preserve">Medium-Term Opportunities (Q3-Q4 2026)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Fraud Detection Support: </w:t>
      </w:r>
      <w:r>
        <w:t xml:space="preserve">Pattern analysis and resource allocation optimization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Compliance Agent: </w:t>
      </w:r>
      <w:r>
        <w:t xml:space="preserve">Regulatory monitoring and automated reporting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HR Operations: </w:t>
      </w:r>
      <w:r>
        <w:t xml:space="preserve">Onboarding, policy Q&amp;A, benefits navigation</w:t>
      </w:r>
    </w:p>
    <w:p>
      <w:pPr>
        <w:spacing w:after="300"/>
      </w:pPr>
    </w:p>
    <w:p>
      <w:pPr>
        <w:pStyle w:val="Heading2"/>
      </w:pPr>
      <w:r>
        <w:t xml:space="preserve">Long-Term Vision (2027+)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Agent Marketplace: </w:t>
      </w:r>
      <w:r>
        <w:t xml:space="preserve">External licensing of MCMAP agents to enterprise clients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Partner Ecosystem: </w:t>
      </w:r>
      <w:r>
        <w:t xml:space="preserve">Third-party developers building on MCMAP infrastructure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Data-Enhanced Agents: </w:t>
      </w:r>
      <w:r>
        <w:t xml:space="preserve">Deep integration with Mastercard proprietary data products</w:t>
      </w:r>
    </w:p>
    <w:p>
      <w:pPr>
        <w:spacing w:after="300"/>
      </w:pPr>
    </w:p>
    <w:p>
      <w:pPr>
        <w:pStyle w:val="Heading2"/>
      </w:pPr>
      <w:r>
        <w:t xml:space="preserve">Expansion Impact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Expansion Area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Estimated Impact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 Efficiency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$2-4M annual productivity gains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Revenue Acceleration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15-25% increase in follow-on consulting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External Licensing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$100K-500K per enterprise client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Premium Services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10-20% price premium for AI-enhanced delivery</w:t>
            </w:r>
          </w:p>
        </w:tc>
      </w:tr>
    </w:tbl>
    <w:p>
      <w:pPr>
        <w:spacing w:after="300"/>
      </w:pPr>
    </w:p>
    <w:p>
      <w:pPr>
        <w:jc w:val="center"/>
      </w:pPr>
      <w:r>
        <w:rPr>
          <w:color w:val="666666"/>
          <w:sz w:val="18"/>
          <w:szCs w:val="18"/>
        </w:rPr>
        <w:t xml:space="preserve">Document Version: 2.0 | January 25, 2026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Mastercard Internal |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MCMAP - Future Use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FF5F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FF5F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2026-01-25T18:41:05.983Z</dcterms:created>
  <dcterms:modified xsi:type="dcterms:W3CDTF">2026-01-25T18:41:05.983Z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