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F4E79"/>
          <w:sz w:val="72"/>
          <w:szCs w:val="72"/>
        </w:rPr>
        <w:t xml:space="preserve">ODIN</w:t>
      </w:r>
    </w:p>
    <w:p>
      <w:pPr>
        <w:spacing w:after="100"/>
        <w:jc w:val="center"/>
      </w:pPr>
      <w:r>
        <w:rPr>
          <w:rFonts w:ascii="Calibri" w:cs="Calibri" w:eastAsia="Calibri" w:hAnsi="Calibri"/>
          <w:color w:val="2E75B6"/>
          <w:sz w:val="32"/>
          <w:szCs w:val="32"/>
        </w:rPr>
        <w:t xml:space="preserve">by AgentLayers</w:t>
      </w:r>
    </w:p>
    <w:p>
      <w:pPr>
        <w:spacing w:after="600"/>
        <w:jc w:val="center"/>
      </w:pPr>
      <w:r>
        <w:rPr>
          <w:color w:val="CCCCCC"/>
          <w:sz w:val="20"/>
          <w:szCs w:val="20"/>
        </w:rPr>
        <w:t xml:space="preserve">────────────────────────────────────────</w:t>
      </w:r>
    </w:p>
    <w:p>
      <w:pPr>
        <w:spacing w:after="200"/>
        <w:jc w:val="center"/>
      </w:pPr>
      <w:r>
        <w:rPr>
          <w:rFonts w:ascii="Calibri" w:cs="Calibri" w:eastAsia="Calibri" w:hAnsi="Calibri"/>
          <w:color w:val="4A4A4A"/>
          <w:sz w:val="28"/>
          <w:szCs w:val="28"/>
        </w:rPr>
        <w:t xml:space="preserve">A Zero Trust AI Agent Architecture</w:t>
      </w:r>
    </w:p>
    <w:p>
      <w:pPr>
        <w:spacing w:after="100"/>
        <w:jc w:val="center"/>
      </w:pPr>
      <w:r>
        <w:rPr>
          <w:rFonts w:ascii="Calibri" w:cs="Calibri" w:eastAsia="Calibri" w:hAnsi="Calibri"/>
          <w:i/>
          <w:iCs/>
          <w:color w:val="4A4A4A"/>
          <w:sz w:val="24"/>
          <w:szCs w:val="24"/>
        </w:rPr>
        <w:t xml:space="preserve">Secured by Design, Trusted by Network</w:t>
      </w:r>
    </w:p>
    <w:p>
      <w:pPr>
        <w:spacing w:after="200" w:before="1200"/>
        <w:jc w:val="center"/>
      </w:pPr>
      <w:r>
        <w:rPr>
          <w:rFonts w:ascii="Calibri" w:cs="Calibri" w:eastAsia="Calibri" w:hAnsi="Calibri"/>
          <w:sz w:val="24"/>
          <w:szCs w:val="24"/>
        </w:rPr>
        <w:t xml:space="preserve">Mémoire de Master 2 — Recherche en Intelligence Artificielle</w:t>
      </w:r>
    </w:p>
    <w:p>
      <w:pPr>
        <w:spacing w:after="100"/>
        <w:jc w:val="center"/>
      </w:pPr>
      <w:r>
        <w:rPr>
          <w:rFonts w:ascii="Calibri" w:cs="Calibri" w:eastAsia="Calibri" w:hAnsi="Calibri"/>
          <w:b/>
          <w:bCs/>
          <w:sz w:val="24"/>
          <w:szCs w:val="24"/>
        </w:rPr>
        <w:t xml:space="preserve">Kevin COUTELLIER</w:t>
      </w:r>
    </w:p>
    <w:p>
      <w:pPr>
        <w:spacing w:after="600"/>
        <w:jc w:val="center"/>
      </w:pPr>
      <w:r>
        <w:rPr>
          <w:rFonts w:ascii="Calibri" w:cs="Calibri" w:eastAsia="Calibri" w:hAnsi="Calibri"/>
          <w:color w:val="4A4A4A"/>
          <w:sz w:val="22"/>
          <w:szCs w:val="22"/>
        </w:rPr>
        <w:t xml:space="preserve">Avril 2026</w:t>
      </w:r>
    </w:p>
    <w:p>
      <w:pPr>
        <w:jc w:val="center"/>
      </w:pPr>
      <w:r>
        <w:rPr>
          <w:rFonts w:ascii="Calibri" w:cs="Calibri" w:eastAsia="Calibri" w:hAnsi="Calibri"/>
          <w:color w:val="4A4A4A"/>
          <w:sz w:val="20"/>
          <w:szCs w:val="20"/>
        </w:rPr>
        <w:t xml:space="preserve">Licence MIT — Open Source</w:t>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4E79"/>
          <w:sz w:val="32"/>
          <w:szCs w:val="32"/>
        </w:rPr>
        <w:t xml:space="preserve">1. Introduction</w:t>
      </w:r>
    </w:p>
    <w:p>
      <w:pPr>
        <w:pStyle w:val="Heading2"/>
        <w:spacing w:after="150" w:before="300"/>
      </w:pPr>
      <w:r>
        <w:rPr>
          <w:rFonts w:ascii="Calibri" w:cs="Calibri" w:eastAsia="Calibri" w:hAnsi="Calibri"/>
          <w:b/>
          <w:bCs/>
          <w:color w:val="2E75B6"/>
          <w:sz w:val="26"/>
          <w:szCs w:val="26"/>
        </w:rPr>
        <w:t xml:space="preserve">1.1 Contexte et motivation</w:t>
      </w:r>
    </w:p>
    <w:p>
      <w:pPr>
        <w:spacing w:after="120" w:line="360"/>
        <w:jc w:val="both"/>
      </w:pPr>
      <w:r>
        <w:rPr>
          <w:rFonts w:ascii="Calibri" w:cs="Calibri" w:eastAsia="Calibri" w:hAnsi="Calibri"/>
          <w:sz w:val="22"/>
          <w:szCs w:val="22"/>
        </w:rPr>
        <w:t xml:space="preserve">Les agents d’intelligence artificielle (IA) ont connu une croissance exponentielle depuis l’introduction des grands modèles de langage (LLM). Ces agents autonomes sont capables d’exécuter des outils, de communiquer avec d’autres agents et de prendre des décisions complexes. Cependant, cette puissance s’accompagne de risques de sécurité majeurs : injection de prompts, empoisonnement des sorties d’outils, escalade de privilèges et usurpation d’identité.</w:t>
      </w:r>
    </w:p>
    <w:p>
      <w:pPr>
        <w:spacing w:after="120" w:line="360"/>
        <w:jc w:val="both"/>
      </w:pPr>
      <w:r>
        <w:rPr>
          <w:rFonts w:ascii="Calibri" w:cs="Calibri" w:eastAsia="Calibri" w:hAnsi="Calibri"/>
          <w:sz w:val="22"/>
          <w:szCs w:val="22"/>
        </w:rPr>
        <w:t xml:space="preserve">Les architectures d’agents existantes fonctionnent selon un modèle de </w:t>
      </w:r>
      <w:r>
        <w:rPr>
          <w:rFonts w:ascii="Calibri" w:cs="Calibri" w:eastAsia="Calibri" w:hAnsi="Calibri"/>
          <w:i/>
          <w:iCs/>
          <w:sz w:val="22"/>
          <w:szCs w:val="22"/>
        </w:rPr>
        <w:t xml:space="preserve">confiance implicite</w:t>
      </w:r>
      <w:r>
        <w:rPr>
          <w:rFonts w:ascii="Calibri" w:cs="Calibri" w:eastAsia="Calibri" w:hAnsi="Calibri"/>
          <w:sz w:val="22"/>
          <w:szCs w:val="22"/>
        </w:rPr>
        <w:t xml:space="preserve"> : les résultats d’outils sont consommés directement, les agents pairs sont considérés comme honnêtes, et l’injection de prompts peut détourner l’ensemble du système. Ce constat motive le développement d’une architecture fondée sur le principe du </w:t>
      </w:r>
      <w:r>
        <w:rPr>
          <w:rFonts w:ascii="Calibri" w:cs="Calibri" w:eastAsia="Calibri" w:hAnsi="Calibri"/>
          <w:b/>
          <w:bCs/>
          <w:sz w:val="22"/>
          <w:szCs w:val="22"/>
        </w:rPr>
        <w:t xml:space="preserve">Zero Trust</w:t>
      </w:r>
      <w:r>
        <w:rPr>
          <w:rFonts w:ascii="Calibri" w:cs="Calibri" w:eastAsia="Calibri" w:hAnsi="Calibri"/>
          <w:sz w:val="22"/>
          <w:szCs w:val="22"/>
        </w:rPr>
        <w:t xml:space="preserve"> : « ne jamais faire confiance, toujours vérifier ».</w:t>
      </w:r>
    </w:p>
    <w:p>
      <w:pPr>
        <w:pStyle w:val="Heading2"/>
        <w:spacing w:after="150" w:before="300"/>
      </w:pPr>
      <w:r>
        <w:rPr>
          <w:rFonts w:ascii="Calibri" w:cs="Calibri" w:eastAsia="Calibri" w:hAnsi="Calibri"/>
          <w:b/>
          <w:bCs/>
          <w:color w:val="2E75B6"/>
          <w:sz w:val="26"/>
          <w:szCs w:val="26"/>
        </w:rPr>
        <w:t xml:space="preserve">1.2 Contributions</w:t>
      </w:r>
    </w:p>
    <w:p>
      <w:pPr>
        <w:spacing w:after="120" w:line="360"/>
        <w:jc w:val="both"/>
      </w:pPr>
      <w:r>
        <w:rPr>
          <w:rFonts w:ascii="Calibri" w:cs="Calibri" w:eastAsia="Calibri" w:hAnsi="Calibri"/>
          <w:sz w:val="22"/>
          <w:szCs w:val="22"/>
        </w:rPr>
        <w:t xml:space="preserve">Ce mémoire présente Odin, un framework open source (licence MIT) pour agents IA sécurisés, dont les contributions principales sont :</w:t>
      </w:r>
    </w:p>
    <w:p>
      <w:pPr>
        <w:pStyle w:val="ListParagraph"/>
        <w:numPr>
          <w:ilvl w:val="0"/>
          <w:numId w:val="2"/>
        </w:numPr>
        <w:spacing w:after="80" w:line="340"/>
      </w:pPr>
      <w:r>
        <w:rPr>
          <w:rFonts w:ascii="Calibri" w:cs="Calibri" w:eastAsia="Calibri" w:hAnsi="Calibri"/>
          <w:sz w:val="22"/>
          <w:szCs w:val="22"/>
        </w:rPr>
        <w:t xml:space="preserve">Un modèle de sécurité Zero Trust complet adapté aux agents IA, intégrant le contrôle de flux d’information (IFC), l’isolation par anneaux de sandbox et l’évaluation de politiques en temps réel.</w:t>
      </w:r>
    </w:p>
    <w:p>
      <w:pPr>
        <w:pStyle w:val="ListParagraph"/>
        <w:numPr>
          <w:ilvl w:val="0"/>
          <w:numId w:val="2"/>
        </w:numPr>
        <w:spacing w:after="80" w:line="340"/>
      </w:pPr>
      <w:r>
        <w:rPr>
          <w:rFonts w:ascii="Calibri" w:cs="Calibri" w:eastAsia="Calibri" w:hAnsi="Calibri"/>
          <w:sz w:val="22"/>
          <w:szCs w:val="22"/>
        </w:rPr>
        <w:t xml:space="preserve">Une architecture cognitive en trois phases combinant mémoire épisodique, raisonnement causal (SCM de Pearl) et planification hiérarchique (MCTS).</w:t>
      </w:r>
    </w:p>
    <w:p>
      <w:pPr>
        <w:pStyle w:val="ListParagraph"/>
        <w:numPr>
          <w:ilvl w:val="0"/>
          <w:numId w:val="2"/>
        </w:numPr>
        <w:spacing w:after="80" w:line="340"/>
      </w:pPr>
      <w:r>
        <w:rPr>
          <w:rFonts w:ascii="Calibri" w:cs="Calibri" w:eastAsia="Calibri" w:hAnsi="Calibri"/>
          <w:sz w:val="22"/>
          <w:szCs w:val="22"/>
        </w:rPr>
        <w:t xml:space="preserve">Un protocole Agent-to-Agent (A2A) avec vérification cryptographique par identité décentralisée (DID) et credentials éphémères.</w:t>
      </w:r>
    </w:p>
    <w:p>
      <w:pPr>
        <w:pStyle w:val="ListParagraph"/>
        <w:numPr>
          <w:ilvl w:val="0"/>
          <w:numId w:val="2"/>
        </w:numPr>
        <w:spacing w:after="80" w:line="340"/>
      </w:pPr>
      <w:r>
        <w:rPr>
          <w:rFonts w:ascii="Calibri" w:cs="Calibri" w:eastAsia="Calibri" w:hAnsi="Calibri"/>
          <w:sz w:val="22"/>
          <w:szCs w:val="22"/>
        </w:rPr>
        <w:t xml:space="preserve">Un disjoncteur à 5 états (circuit breaker) innovant avec détection des défaillances sémantiques.</w:t>
      </w:r>
    </w:p>
    <w:p>
      <w:pPr>
        <w:pStyle w:val="ListParagraph"/>
        <w:numPr>
          <w:ilvl w:val="0"/>
          <w:numId w:val="2"/>
        </w:numPr>
        <w:spacing w:after="80" w:line="340"/>
      </w:pPr>
      <w:r>
        <w:rPr>
          <w:rFonts w:ascii="Calibri" w:cs="Calibri" w:eastAsia="Calibri" w:hAnsi="Calibri"/>
          <w:sz w:val="22"/>
          <w:szCs w:val="22"/>
        </w:rPr>
        <w:t xml:space="preserve">Une implémentation complète validée par 150 tests automatisés couvrant les 7 packages du monorepo.</w:t>
      </w:r>
    </w:p>
    <w:p>
      <w:pPr>
        <w:pStyle w:val="Heading2"/>
        <w:spacing w:after="150" w:before="300"/>
      </w:pPr>
      <w:r>
        <w:rPr>
          <w:rFonts w:ascii="Calibri" w:cs="Calibri" w:eastAsia="Calibri" w:hAnsi="Calibri"/>
          <w:b/>
          <w:bCs/>
          <w:color w:val="2E75B6"/>
          <w:sz w:val="26"/>
          <w:szCs w:val="26"/>
        </w:rPr>
        <w:t xml:space="preserve">1.3 Organisation du document</w:t>
      </w:r>
    </w:p>
    <w:p>
      <w:pPr>
        <w:spacing w:after="120" w:line="360"/>
        <w:jc w:val="both"/>
      </w:pPr>
      <w:r>
        <w:rPr>
          <w:rFonts w:ascii="Calibri" w:cs="Calibri" w:eastAsia="Calibri" w:hAnsi="Calibri"/>
          <w:sz w:val="22"/>
          <w:szCs w:val="22"/>
        </w:rPr>
        <w:t xml:space="preserve">Ce document est organisé comme suit. Le chapitre 2 présente l’état de l’art en sécurité des agents IA. Le chapitre 3 détaille l’architecture système d’Odin. Le chapitre 4 décrit le modèle de sécurité Zero Trust. Le chapitre 5 présente l’architecture cognitive. Le chapitre 6 décrit le protocole A2A. Le chapitre 7 présente les résultats expérimentaux. Le chapitre 8 conclut et propose des perspectives.</w:t>
      </w:r>
    </w:p>
    <w:p>
      <w:r>
        <w:br w:type="page"/>
      </w:r>
    </w:p>
    <w:p>
      <w:pPr>
        <w:pStyle w:val="Heading1"/>
        <w:spacing w:after="200" w:before="400"/>
      </w:pPr>
      <w:r>
        <w:rPr>
          <w:rFonts w:ascii="Calibri" w:cs="Calibri" w:eastAsia="Calibri" w:hAnsi="Calibri"/>
          <w:b/>
          <w:bCs/>
          <w:color w:val="1F4E79"/>
          <w:sz w:val="32"/>
          <w:szCs w:val="32"/>
        </w:rPr>
        <w:t xml:space="preserve">2. État de l’art</w:t>
      </w:r>
    </w:p>
    <w:p>
      <w:pPr>
        <w:pStyle w:val="Heading2"/>
        <w:spacing w:after="150" w:before="300"/>
      </w:pPr>
      <w:r>
        <w:rPr>
          <w:rFonts w:ascii="Calibri" w:cs="Calibri" w:eastAsia="Calibri" w:hAnsi="Calibri"/>
          <w:b/>
          <w:bCs/>
          <w:color w:val="2E75B6"/>
          <w:sz w:val="26"/>
          <w:szCs w:val="26"/>
        </w:rPr>
        <w:t xml:space="preserve">2.1 Agents IA et grands modèles de langage</w:t>
      </w:r>
    </w:p>
    <w:p>
      <w:pPr>
        <w:spacing w:after="120" w:line="360"/>
        <w:jc w:val="both"/>
      </w:pPr>
      <w:r>
        <w:rPr>
          <w:rFonts w:ascii="Calibri" w:cs="Calibri" w:eastAsia="Calibri" w:hAnsi="Calibri"/>
          <w:sz w:val="22"/>
          <w:szCs w:val="22"/>
        </w:rPr>
        <w:t xml:space="preserve">Les agents IA basés sur les LLM, tels que AutoGPT, LangChain Agents ou Claude Computer Use, démontrent des capacités remarquables en planification et exécution d’outils. Cependant, des travaux récents comme AgentDojo</w:t>
      </w:r>
      <w:r>
        <w:rPr>
          <w:rFonts w:ascii="Calibri" w:cs="Calibri" w:eastAsia="Calibri" w:hAnsi="Calibri"/>
          <w:sz w:val="22"/>
          <w:szCs w:val="22"/>
        </w:rPr>
        <w:r>
          <w:rPr>
            <w:rStyle w:val="FootnoteReference"/>
          </w:rPr>
          <w:footnoteReference w:id="2"/>
        </w:r>
      </w:r>
      <w:r>
        <w:rPr>
          <w:rFonts w:ascii="Calibri" w:cs="Calibri" w:eastAsia="Calibri" w:hAnsi="Calibri"/>
          <w:sz w:val="22"/>
          <w:szCs w:val="22"/>
        </w:rPr>
        <w:t xml:space="preserve"> montrent que ces systèmes sont vulnérables aux attaques par injection indirecte de prompts, où des instructions malveillantes sont intégrées dans les données retournées par les outils.</w:t>
      </w:r>
    </w:p>
    <w:p>
      <w:pPr>
        <w:pStyle w:val="Heading2"/>
        <w:spacing w:after="150" w:before="300"/>
      </w:pPr>
      <w:r>
        <w:rPr>
          <w:rFonts w:ascii="Calibri" w:cs="Calibri" w:eastAsia="Calibri" w:hAnsi="Calibri"/>
          <w:b/>
          <w:bCs/>
          <w:color w:val="2E75B6"/>
          <w:sz w:val="26"/>
          <w:szCs w:val="26"/>
        </w:rPr>
        <w:t xml:space="preserve">2.2 Sécurité des agents IA</w:t>
      </w:r>
    </w:p>
    <w:p>
      <w:pPr>
        <w:spacing w:after="120" w:line="360"/>
        <w:jc w:val="both"/>
      </w:pPr>
      <w:r>
        <w:rPr>
          <w:rFonts w:ascii="Calibri" w:cs="Calibri" w:eastAsia="Calibri" w:hAnsi="Calibri"/>
          <w:sz w:val="22"/>
          <w:szCs w:val="22"/>
        </w:rPr>
        <w:t xml:space="preserve">Le modèle CaMeL (CApabilities for Machine Learning)</w:t>
      </w:r>
      <w:r>
        <w:rPr>
          <w:rFonts w:ascii="Calibri" w:cs="Calibri" w:eastAsia="Calibri" w:hAnsi="Calibri"/>
          <w:sz w:val="22"/>
          <w:szCs w:val="22"/>
        </w:rPr>
        <w:r>
          <w:rPr>
            <w:rStyle w:val="FootnoteReference"/>
          </w:rPr>
          <w:footnoteReference w:id="3"/>
        </w:r>
      </w:r>
      <w:r>
        <w:rPr>
          <w:rFonts w:ascii="Calibri" w:cs="Calibri" w:eastAsia="Calibri" w:hAnsi="Calibri"/>
          <w:sz w:val="22"/>
          <w:szCs w:val="22"/>
        </w:rPr>
        <w:t xml:space="preserve"> de Microsoft Research propose une architecture à double LLM où les contrôles de sécurité sont exécutés sur un modèle privilégié séparé, empêchant l’injection de prompts de détourner l’exécution d’outils. Odin adapte ce modèle dans un contexte Zero Trust.</w:t>
      </w:r>
    </w:p>
    <w:p>
      <w:pPr>
        <w:spacing w:after="120" w:line="360"/>
        <w:jc w:val="both"/>
      </w:pPr>
      <w:r>
        <w:rPr>
          <w:rFonts w:ascii="Calibri" w:cs="Calibri" w:eastAsia="Calibri" w:hAnsi="Calibri"/>
          <w:sz w:val="22"/>
          <w:szCs w:val="22"/>
        </w:rPr>
        <w:t xml:space="preserve">L’OWASP Agentic Security Initiative (ASI) identifie les 10 principaux risques pour les agents IA, incluant l’exécution non autorisée d’outils, la compromission de la chaîne d’approvisionnement et la manipulation de la confiance inter-agents.</w:t>
      </w:r>
    </w:p>
    <w:p>
      <w:pPr>
        <w:pStyle w:val="Heading2"/>
        <w:spacing w:after="150" w:before="300"/>
      </w:pPr>
      <w:r>
        <w:rPr>
          <w:rFonts w:ascii="Calibri" w:cs="Calibri" w:eastAsia="Calibri" w:hAnsi="Calibri"/>
          <w:b/>
          <w:bCs/>
          <w:color w:val="2E75B6"/>
          <w:sz w:val="26"/>
          <w:szCs w:val="26"/>
        </w:rPr>
        <w:t xml:space="preserve">2.3 Confiance et identité décentralisée</w:t>
      </w:r>
    </w:p>
    <w:p>
      <w:pPr>
        <w:spacing w:after="120" w:line="360"/>
        <w:jc w:val="both"/>
      </w:pPr>
      <w:r>
        <w:rPr>
          <w:rFonts w:ascii="Calibri" w:cs="Calibri" w:eastAsia="Calibri" w:hAnsi="Calibri"/>
          <w:sz w:val="22"/>
          <w:szCs w:val="22"/>
        </w:rPr>
        <w:t xml:space="preserve">Les Decentralized Identifiers (DID)</w:t>
      </w:r>
      <w:r>
        <w:rPr>
          <w:rFonts w:ascii="Calibri" w:cs="Calibri" w:eastAsia="Calibri" w:hAnsi="Calibri"/>
          <w:sz w:val="22"/>
          <w:szCs w:val="22"/>
        </w:rPr>
        <w:r>
          <w:rPr>
            <w:rStyle w:val="FootnoteReference"/>
          </w:rPr>
          <w:footnoteReference w:id="5"/>
        </w:r>
      </w:r>
      <w:r>
        <w:rPr>
          <w:rFonts w:ascii="Calibri" w:cs="Calibri" w:eastAsia="Calibri" w:hAnsi="Calibri"/>
          <w:sz w:val="22"/>
          <w:szCs w:val="22"/>
        </w:rPr>
        <w:t xml:space="preserve"> du W3C fournissent un cadre pour l’identité auto-souveraine des agents. Chaque agent génère sa propre paire de clés cryptographiques et publie un DID Document contenant sa clé publique et ses capacités.</w:t>
      </w:r>
    </w:p>
    <w:p>
      <w:pPr>
        <w:pStyle w:val="Heading2"/>
        <w:spacing w:after="150" w:before="300"/>
      </w:pPr>
      <w:r>
        <w:rPr>
          <w:rFonts w:ascii="Calibri" w:cs="Calibri" w:eastAsia="Calibri" w:hAnsi="Calibri"/>
          <w:b/>
          <w:bCs/>
          <w:color w:val="2E75B6"/>
          <w:sz w:val="26"/>
          <w:szCs w:val="26"/>
        </w:rPr>
        <w:t xml:space="preserve">2.4 Raisonnement causal pour les agents</w:t>
      </w:r>
    </w:p>
    <w:p>
      <w:pPr>
        <w:spacing w:after="120" w:line="360"/>
        <w:jc w:val="both"/>
      </w:pPr>
      <w:r>
        <w:rPr>
          <w:rFonts w:ascii="Calibri" w:cs="Calibri" w:eastAsia="Calibri" w:hAnsi="Calibri"/>
          <w:sz w:val="22"/>
          <w:szCs w:val="22"/>
        </w:rPr>
        <w:t xml:space="preserve">Pearl</w:t>
      </w:r>
      <w:r>
        <w:rPr>
          <w:rFonts w:ascii="Calibri" w:cs="Calibri" w:eastAsia="Calibri" w:hAnsi="Calibri"/>
          <w:sz w:val="22"/>
          <w:szCs w:val="22"/>
        </w:rPr>
        <w:r>
          <w:rPr>
            <w:rStyle w:val="FootnoteReference"/>
          </w:rPr>
          <w:footnoteReference w:id="1"/>
        </w:r>
      </w:r>
      <w:r>
        <w:rPr>
          <w:rFonts w:ascii="Calibri" w:cs="Calibri" w:eastAsia="Calibri" w:hAnsi="Calibri"/>
          <w:sz w:val="22"/>
          <w:szCs w:val="22"/>
        </w:rPr>
        <w:t xml:space="preserve"> définit trois niveaux de raisonnement causal : l’association (L1), l’intervention via le do-calculus (L2) et le contrefactuel (L3). Ces niveaux sont essentiels pour permettre à un agent d’apprendre de ses erreurs et d’améliorer ses décisions de manière autonome.</w:t>
      </w:r>
    </w:p>
    <w:p>
      <w:r>
        <w:br w:type="page"/>
      </w:r>
    </w:p>
    <w:p>
      <w:pPr>
        <w:pStyle w:val="Heading1"/>
        <w:spacing w:after="200" w:before="400"/>
      </w:pPr>
      <w:r>
        <w:rPr>
          <w:rFonts w:ascii="Calibri" w:cs="Calibri" w:eastAsia="Calibri" w:hAnsi="Calibri"/>
          <w:b/>
          <w:bCs/>
          <w:color w:val="1F4E79"/>
          <w:sz w:val="32"/>
          <w:szCs w:val="32"/>
        </w:rPr>
        <w:t xml:space="preserve">3. Architecture système</w:t>
      </w:r>
    </w:p>
    <w:p>
      <w:pPr>
        <w:pStyle w:val="Heading2"/>
        <w:spacing w:after="150" w:before="300"/>
      </w:pPr>
      <w:r>
        <w:rPr>
          <w:rFonts w:ascii="Calibri" w:cs="Calibri" w:eastAsia="Calibri" w:hAnsi="Calibri"/>
          <w:b/>
          <w:bCs/>
          <w:color w:val="2E75B6"/>
          <w:sz w:val="26"/>
          <w:szCs w:val="26"/>
        </w:rPr>
        <w:t xml:space="preserve">3.1 Vue d’ensemble</w:t>
      </w:r>
    </w:p>
    <w:p>
      <w:pPr>
        <w:spacing w:after="120" w:line="360"/>
        <w:jc w:val="both"/>
      </w:pPr>
      <w:r>
        <w:rPr>
          <w:rFonts w:ascii="Calibri" w:cs="Calibri" w:eastAsia="Calibri" w:hAnsi="Calibri"/>
          <w:sz w:val="22"/>
          <w:szCs w:val="22"/>
        </w:rPr>
        <w:t xml:space="preserve">Odin est construit comme un monorepo TypeScript organisé en 7 packages indépendants, orchestrés par un agent central. Chaque package correspond à un sous-système fonctionnel avec des interfaces clairement définies.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Rôle</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Composants principaux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Types, routage LLM, mémoire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DualLLMRouter, MemoryStore, MerkleTree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@odin/security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Périmètre de sécurité</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DIDManager, IFCEngine, PolicyEngine, SandboxManager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@odin/trust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Réseau de confiance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AgentLayersClient, TrustScoreManager, CircuitBreaker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Architecture cognitive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EpisodicStore, CIK, MCTS, CausalEngine, Evolution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@odin/cli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Orchestrateur, gateways, A2A</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OdinAgent, TelegramGateway, DiscordGateway, A2AServer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@odin/dashboard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Interface temps réel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DashboardServer (WebSocket)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@odin/observability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Audit et traçabilité</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AuditLog, DecisionTracer, ComplianceReporter</w:t>
            </w:r>
          </w:p>
        </w:tc>
      </w:tr>
    </w:tbl>
    <w:p>
      <w:pPr>
        <w:pStyle w:val="Heading2"/>
        <w:spacing w:after="150" w:before="300"/>
      </w:pPr>
      <w:r>
        <w:rPr>
          <w:rFonts w:ascii="Calibri" w:cs="Calibri" w:eastAsia="Calibri" w:hAnsi="Calibri"/>
          <w:b/>
          <w:bCs/>
          <w:color w:val="2E75B6"/>
          <w:sz w:val="26"/>
          <w:szCs w:val="26"/>
        </w:rPr>
        <w:t xml:space="preserve">3.2 Principes de conception</w:t>
      </w:r>
    </w:p>
    <w:p>
      <w:pPr>
        <w:pStyle w:val="ListParagraph"/>
        <w:numPr>
          <w:ilvl w:val="0"/>
          <w:numId w:val="3"/>
        </w:numPr>
        <w:spacing w:after="80" w:line="340"/>
      </w:pPr>
      <w:r>
        <w:rPr>
          <w:rFonts w:ascii="Calibri" w:cs="Calibri" w:eastAsia="Calibri" w:hAnsi="Calibri"/>
          <w:sz w:val="22"/>
          <w:szCs w:val="22"/>
        </w:rPr>
        <w:t xml:space="preserve">Identity-First : chaque instance possède un DID unique (Ed25519). Toutes les actions sont signées cryptographiquement.</w:t>
      </w:r>
    </w:p>
    <w:p>
      <w:pPr>
        <w:pStyle w:val="ListParagraph"/>
        <w:numPr>
          <w:ilvl w:val="0"/>
          <w:numId w:val="3"/>
        </w:numPr>
        <w:spacing w:after="80" w:line="340"/>
      </w:pPr>
      <w:r>
        <w:rPr>
          <w:rFonts w:ascii="Calibri" w:cs="Calibri" w:eastAsia="Calibri" w:hAnsi="Calibri"/>
          <w:sz w:val="22"/>
          <w:szCs w:val="22"/>
        </w:rPr>
        <w:t xml:space="preserve">Least Privilege : les outils s’exécutent dans des anneaux de sandbox (Ring 0-2) avec traçage de teinte des entrées/sorties.</w:t>
      </w:r>
    </w:p>
    <w:p>
      <w:pPr>
        <w:pStyle w:val="ListParagraph"/>
        <w:numPr>
          <w:ilvl w:val="0"/>
          <w:numId w:val="3"/>
        </w:numPr>
        <w:spacing w:after="80" w:line="340"/>
      </w:pPr>
      <w:r>
        <w:rPr>
          <w:rFonts w:ascii="Calibri" w:cs="Calibri" w:eastAsia="Calibri" w:hAnsi="Calibri"/>
          <w:sz w:val="22"/>
          <w:szCs w:val="22"/>
        </w:rPr>
        <w:t xml:space="preserve">Continuous Verification : les scores de confiance sont calculés à partir de métriques temps réel, pas de configurations statiques.</w:t>
      </w:r>
    </w:p>
    <w:p>
      <w:pPr>
        <w:pStyle w:val="ListParagraph"/>
        <w:numPr>
          <w:ilvl w:val="0"/>
          <w:numId w:val="3"/>
        </w:numPr>
        <w:spacing w:after="80" w:line="340"/>
      </w:pPr>
      <w:r>
        <w:rPr>
          <w:rFonts w:ascii="Calibri" w:cs="Calibri" w:eastAsia="Calibri" w:hAnsi="Calibri"/>
          <w:sz w:val="22"/>
          <w:szCs w:val="22"/>
        </w:rPr>
        <w:t xml:space="preserve">Defense in Depth : quatre sous-systèmes indépendants (Sécurité, Confiance, Cognition, Observabilité) fournissent des couches de protection superposées.</w:t>
      </w:r>
    </w:p>
    <w:p>
      <w:pPr>
        <w:pStyle w:val="Heading2"/>
        <w:spacing w:after="150" w:before="300"/>
      </w:pPr>
      <w:r>
        <w:rPr>
          <w:rFonts w:ascii="Calibri" w:cs="Calibri" w:eastAsia="Calibri" w:hAnsi="Calibri"/>
          <w:b/>
          <w:bCs/>
          <w:color w:val="2E75B6"/>
          <w:sz w:val="26"/>
          <w:szCs w:val="26"/>
        </w:rPr>
        <w:t xml:space="preserve">3.3 Pipeline de traitement des messages</w:t>
      </w:r>
    </w:p>
    <w:p>
      <w:pPr>
        <w:spacing w:after="120" w:line="360"/>
        <w:jc w:val="both"/>
      </w:pPr>
      <w:r>
        <w:rPr>
          <w:rFonts w:ascii="Calibri" w:cs="Calibri" w:eastAsia="Calibri" w:hAnsi="Calibri"/>
          <w:sz w:val="22"/>
          <w:szCs w:val="22"/>
        </w:rPr>
        <w:t xml:space="preserve">Lorsqu’un utilisateur envoie un message, celui-ci traverse un pipeline de 8 étapes :</w:t>
      </w:r>
    </w:p>
    <w:p>
      <w:pPr>
        <w:pStyle w:val="ListParagraph"/>
        <w:numPr>
          <w:ilvl w:val="0"/>
          <w:numId w:val="4"/>
        </w:numPr>
        <w:spacing w:after="80" w:line="340"/>
      </w:pPr>
      <w:r>
        <w:rPr>
          <w:rFonts w:ascii="Calibri" w:cs="Calibri" w:eastAsia="Calibri" w:hAnsi="Calibri"/>
          <w:sz w:val="22"/>
          <w:szCs w:val="22"/>
        </w:rPr>
        <w:t xml:space="preserve">Étiquetage IFC : le message est marqué TRUSTED (source de confiance directe).</w:t>
      </w:r>
    </w:p>
    <w:p>
      <w:pPr>
        <w:pStyle w:val="ListParagraph"/>
        <w:numPr>
          <w:ilvl w:val="0"/>
          <w:numId w:val="4"/>
        </w:numPr>
        <w:spacing w:after="80" w:line="340"/>
      </w:pPr>
      <w:r>
        <w:rPr>
          <w:rFonts w:ascii="Calibri" w:cs="Calibri" w:eastAsia="Calibri" w:hAnsi="Calibri"/>
          <w:sz w:val="22"/>
          <w:szCs w:val="22"/>
        </w:rPr>
        <w:t xml:space="preserve">Recalcul du mode de confiance à partir des métriques temps réel.</w:t>
      </w:r>
    </w:p>
    <w:p>
      <w:pPr>
        <w:pStyle w:val="ListParagraph"/>
        <w:numPr>
          <w:ilvl w:val="0"/>
          <w:numId w:val="4"/>
        </w:numPr>
        <w:spacing w:after="80" w:line="340"/>
      </w:pPr>
      <w:r>
        <w:rPr>
          <w:rFonts w:ascii="Calibri" w:cs="Calibri" w:eastAsia="Calibri" w:hAnsi="Calibri"/>
          <w:sz w:val="22"/>
          <w:szCs w:val="22"/>
        </w:rPr>
        <w:t xml:space="preserve">Gestion de session (réinitialisation idle/daily).</w:t>
      </w:r>
    </w:p>
    <w:p>
      <w:pPr>
        <w:pStyle w:val="ListParagraph"/>
        <w:numPr>
          <w:ilvl w:val="0"/>
          <w:numId w:val="4"/>
        </w:numPr>
        <w:spacing w:after="80" w:line="340"/>
      </w:pPr>
      <w:r>
        <w:rPr>
          <w:rFonts w:ascii="Calibri" w:cs="Calibri" w:eastAsia="Calibri" w:hAnsi="Calibri"/>
          <w:sz w:val="22"/>
          <w:szCs w:val="22"/>
        </w:rPr>
        <w:t xml:space="preserve">Compression de contexte optionnelle (à 75% de la limite).</w:t>
      </w:r>
    </w:p>
    <w:p>
      <w:pPr>
        <w:pStyle w:val="ListParagraph"/>
        <w:numPr>
          <w:ilvl w:val="0"/>
          <w:numId w:val="4"/>
        </w:numPr>
        <w:spacing w:after="80" w:line="340"/>
      </w:pPr>
      <w:r>
        <w:rPr>
          <w:rFonts w:ascii="Calibri" w:cs="Calibri" w:eastAsia="Calibri" w:hAnsi="Calibri"/>
          <w:sz w:val="22"/>
          <w:szCs w:val="22"/>
        </w:rPr>
        <w:t xml:space="preserve">Planification LLM privilégié (génération des appels d’outils).</w:t>
      </w:r>
    </w:p>
    <w:p>
      <w:pPr>
        <w:pStyle w:val="ListParagraph"/>
        <w:numPr>
          <w:ilvl w:val="0"/>
          <w:numId w:val="4"/>
        </w:numPr>
        <w:spacing w:after="80" w:line="340"/>
      </w:pPr>
      <w:r>
        <w:rPr>
          <w:rFonts w:ascii="Calibri" w:cs="Calibri" w:eastAsia="Calibri" w:hAnsi="Calibri"/>
          <w:sz w:val="22"/>
          <w:szCs w:val="22"/>
        </w:rPr>
        <w:t xml:space="preserve">Pipeline d’exécution d’outils : profil, détection de boucles, approbation, validation IFC, politique Cedar, exécution sandbox.</w:t>
      </w:r>
    </w:p>
    <w:p>
      <w:pPr>
        <w:pStyle w:val="ListParagraph"/>
        <w:numPr>
          <w:ilvl w:val="0"/>
          <w:numId w:val="4"/>
        </w:numPr>
        <w:spacing w:after="80" w:line="340"/>
      </w:pPr>
      <w:r>
        <w:rPr>
          <w:rFonts w:ascii="Calibri" w:cs="Calibri" w:eastAsia="Calibri" w:hAnsi="Calibri"/>
          <w:sz w:val="22"/>
          <w:szCs w:val="22"/>
        </w:rPr>
        <w:t xml:space="preserve">Intégration cognitive : compression A-MEM, auto-évolution, cycle d’amélioration, vérification des invariants.</w:t>
      </w:r>
    </w:p>
    <w:p>
      <w:pPr>
        <w:pStyle w:val="ListParagraph"/>
        <w:numPr>
          <w:ilvl w:val="0"/>
          <w:numId w:val="4"/>
        </w:numPr>
        <w:spacing w:after="80" w:line="340"/>
      </w:pPr>
      <w:r>
        <w:rPr>
          <w:rFonts w:ascii="Calibri" w:cs="Calibri" w:eastAsia="Calibri" w:hAnsi="Calibri"/>
          <w:sz w:val="22"/>
          <w:szCs w:val="22"/>
        </w:rPr>
        <w:t xml:space="preserve">Réponse et synchronisation du tableau de bord.</w:t>
      </w:r>
    </w:p>
    <w:p>
      <w:r>
        <w:br w:type="page"/>
      </w:r>
    </w:p>
    <w:p>
      <w:pPr>
        <w:pStyle w:val="Heading1"/>
        <w:spacing w:after="200" w:before="400"/>
      </w:pPr>
      <w:r>
        <w:rPr>
          <w:rFonts w:ascii="Calibri" w:cs="Calibri" w:eastAsia="Calibri" w:hAnsi="Calibri"/>
          <w:b/>
          <w:bCs/>
          <w:color w:val="1F4E79"/>
          <w:sz w:val="32"/>
          <w:szCs w:val="32"/>
        </w:rPr>
        <w:t xml:space="preserve">4. Modèle de sécurité Zero Trust</w:t>
      </w:r>
    </w:p>
    <w:p>
      <w:pPr>
        <w:pStyle w:val="Heading2"/>
        <w:spacing w:after="150" w:before="300"/>
      </w:pPr>
      <w:r>
        <w:rPr>
          <w:rFonts w:ascii="Calibri" w:cs="Calibri" w:eastAsia="Calibri" w:hAnsi="Calibri"/>
          <w:b/>
          <w:bCs/>
          <w:color w:val="2E75B6"/>
          <w:sz w:val="26"/>
          <w:szCs w:val="26"/>
        </w:rPr>
        <w:t xml:space="preserve">4.1 Modèle de menaces</w:t>
      </w:r>
    </w:p>
    <w:p>
      <w:pPr>
        <w:spacing w:after="120" w:line="360"/>
        <w:jc w:val="both"/>
      </w:pPr>
      <w:r>
        <w:rPr>
          <w:rFonts w:ascii="Calibri" w:cs="Calibri" w:eastAsia="Calibri" w:hAnsi="Calibri"/>
          <w:sz w:val="22"/>
          <w:szCs w:val="22"/>
        </w:rPr>
        <w:t xml:space="preserve">Odin identifie sept catégories de menaces spécifiques aux agents IA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Menace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Vecteur d’attaque</w:t>
            </w:r>
          </w:p>
        </w:tc>
        <w:tc>
          <w:tcPr>
            <w:tcW w:type="dxa" w:w="3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Mitigation Odin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Injection de prompt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Instructions malveillantes dans les entrées ou les sorties d’outils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Architecture dual-LLM (CaMeL)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Empoisonnement des sorties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Outil compromis retournant des données malveillantes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Traçage de teinte IFC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Escalade de privilèges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Agent obtenant des capacités non autorisées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Sandbox 3 anneaux + politique Cedar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Usurpation d’identité</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Agent se faisant passer pour un autre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DID Ed25519 + messages signés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Exfiltration de données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Fuite de données sensibles via les appels d’outils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Treillis de confidentialité</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Attaque supply chain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Skills ou serveurs MCP malveillants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Scan AgentLayers + SLSA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Attaque par agent pair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Agents pairs non fiables ou malveillants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Disjoncteur 5 états + score de confiance</w:t>
            </w:r>
          </w:p>
        </w:tc>
      </w:tr>
    </w:tbl>
    <w:p>
      <w:pPr>
        <w:pStyle w:val="Heading2"/>
        <w:spacing w:after="150" w:before="300"/>
      </w:pPr>
      <w:r>
        <w:rPr>
          <w:rFonts w:ascii="Calibri" w:cs="Calibri" w:eastAsia="Calibri" w:hAnsi="Calibri"/>
          <w:b/>
          <w:bCs/>
          <w:color w:val="2E75B6"/>
          <w:sz w:val="26"/>
          <w:szCs w:val="26"/>
        </w:rPr>
        <w:t xml:space="preserve">4.2 Architecture dual-LLM (CaMeL)</w:t>
      </w:r>
    </w:p>
    <w:p>
      <w:pPr>
        <w:spacing w:after="120" w:line="360"/>
        <w:jc w:val="both"/>
      </w:pPr>
      <w:r>
        <w:rPr>
          <w:rFonts w:ascii="Calibri" w:cs="Calibri" w:eastAsia="Calibri" w:hAnsi="Calibri"/>
          <w:sz w:val="22"/>
          <w:szCs w:val="22"/>
        </w:rPr>
        <w:t xml:space="preserve">Odin implémente le modèle CaMeL</w:t>
      </w:r>
      <w:r>
        <w:rPr>
          <w:rFonts w:ascii="Calibri" w:cs="Calibri" w:eastAsia="Calibri" w:hAnsi="Calibri"/>
          <w:sz w:val="22"/>
          <w:szCs w:val="22"/>
        </w:rPr>
        <w:r>
          <w:rPr>
            <w:rStyle w:val="FootnoteReference"/>
          </w:rPr>
          <w:footnoteReference w:id="3"/>
        </w:r>
      </w:r>
      <w:r>
        <w:rPr>
          <w:rFonts w:ascii="Calibri" w:cs="Calibri" w:eastAsia="Calibri" w:hAnsi="Calibri"/>
          <w:sz w:val="22"/>
          <w:szCs w:val="22"/>
        </w:rPr>
        <w:t xml:space="preserve"> avec deux modèles LLM séparés. Le </w:t>
      </w:r>
      <w:r>
        <w:rPr>
          <w:rFonts w:ascii="Calibri" w:cs="Calibri" w:eastAsia="Calibri" w:hAnsi="Calibri"/>
          <w:b/>
          <w:bCs/>
          <w:sz w:val="22"/>
          <w:szCs w:val="22"/>
        </w:rPr>
        <w:t xml:space="preserve">modèle privilégié</w:t>
      </w:r>
      <w:r>
        <w:rPr>
          <w:rFonts w:ascii="Calibri" w:cs="Calibri" w:eastAsia="Calibri" w:hAnsi="Calibri"/>
          <w:sz w:val="22"/>
          <w:szCs w:val="22"/>
        </w:rPr>
        <w:t xml:space="preserve"> voit le contexte complet de la conversation et planifie les appels d’outils. Le </w:t>
      </w:r>
      <w:r>
        <w:rPr>
          <w:rFonts w:ascii="Calibri" w:cs="Calibri" w:eastAsia="Calibri" w:hAnsi="Calibri"/>
          <w:b/>
          <w:bCs/>
          <w:sz w:val="22"/>
          <w:szCs w:val="22"/>
        </w:rPr>
        <w:t xml:space="preserve">modèle en quarantaine</w:t>
      </w:r>
      <w:r>
        <w:rPr>
          <w:rFonts w:ascii="Calibri" w:cs="Calibri" w:eastAsia="Calibri" w:hAnsi="Calibri"/>
          <w:sz w:val="22"/>
          <w:szCs w:val="22"/>
        </w:rPr>
        <w:t xml:space="preserve"> ne traite que les données étiquetées par teinte et ne peut pas invoquer d’outils directement. Cette séparation empêche l’injection de prompts de détourner l’exécution d’outils.</w:t>
      </w:r>
    </w:p>
    <w:p>
      <w:pPr>
        <w:pStyle w:val="Heading2"/>
        <w:spacing w:after="150" w:before="300"/>
      </w:pPr>
      <w:r>
        <w:rPr>
          <w:rFonts w:ascii="Calibri" w:cs="Calibri" w:eastAsia="Calibri" w:hAnsi="Calibri"/>
          <w:b/>
          <w:bCs/>
          <w:color w:val="2E75B6"/>
          <w:sz w:val="26"/>
          <w:szCs w:val="26"/>
        </w:rPr>
        <w:t xml:space="preserve">4.3 Contrôle de flux d’information (IFC)</w:t>
      </w:r>
    </w:p>
    <w:p>
      <w:pPr>
        <w:pStyle w:val="Heading3"/>
        <w:spacing w:after="100" w:before="200"/>
      </w:pPr>
      <w:r>
        <w:rPr>
          <w:rFonts w:ascii="Calibri" w:cs="Calibri" w:eastAsia="Calibri" w:hAnsi="Calibri"/>
          <w:b/>
          <w:bCs/>
          <w:color w:val="4A4A4A"/>
          <w:sz w:val="22"/>
          <w:szCs w:val="22"/>
        </w:rPr>
        <w:t xml:space="preserve">4.3.1 Treillis d’intégrité</w:t>
      </w:r>
    </w:p>
    <w:p>
      <w:pPr>
        <w:spacing w:after="120" w:line="360"/>
        <w:jc w:val="both"/>
      </w:pPr>
      <w:r>
        <w:rPr>
          <w:rFonts w:ascii="Calibri" w:cs="Calibri" w:eastAsia="Calibri" w:hAnsi="Calibri"/>
          <w:sz w:val="22"/>
          <w:szCs w:val="22"/>
        </w:rPr>
        <w:t xml:space="preserve">Chaque donnée porte une étiquette de teinte (TaintLabel) avec un niveau d’intégrité : TRUSTED &gt; DERIVED &gt; UNTRUSTED. Lors de la combinaison de sources multiples, la sortie hérite de l’intégrité la plus basse, empêchant les données teintées d’escalader les privilèges.</w:t>
      </w:r>
    </w:p>
    <w:p>
      <w:pPr>
        <w:pStyle w:val="Heading3"/>
        <w:spacing w:after="100" w:before="200"/>
      </w:pPr>
      <w:r>
        <w:rPr>
          <w:rFonts w:ascii="Calibri" w:cs="Calibri" w:eastAsia="Calibri" w:hAnsi="Calibri"/>
          <w:b/>
          <w:bCs/>
          <w:color w:val="4A4A4A"/>
          <w:sz w:val="22"/>
          <w:szCs w:val="22"/>
        </w:rPr>
        <w:t xml:space="preserve">4.3.2 Treillis de confidentialité</w:t>
      </w:r>
    </w:p>
    <w:p>
      <w:pPr>
        <w:spacing w:after="120" w:line="360"/>
        <w:jc w:val="both"/>
      </w:pPr>
      <w:r>
        <w:rPr>
          <w:rFonts w:ascii="Calibri" w:cs="Calibri" w:eastAsia="Calibri" w:hAnsi="Calibri"/>
          <w:sz w:val="22"/>
          <w:szCs w:val="22"/>
        </w:rPr>
        <w:t xml:space="preserve">De manière symétrique, la confidentialité suit le treillis PUBLIC &lt; SENSITIVE &lt; SECRET. La combinaison hérite de la confidentialité la plus élevée.</w:t>
      </w:r>
    </w:p>
    <w:p>
      <w:pPr>
        <w:pStyle w:val="Heading2"/>
        <w:spacing w:after="150" w:before="300"/>
      </w:pPr>
      <w:r>
        <w:rPr>
          <w:rFonts w:ascii="Calibri" w:cs="Calibri" w:eastAsia="Calibri" w:hAnsi="Calibri"/>
          <w:b/>
          <w:bCs/>
          <w:color w:val="2E75B6"/>
          <w:sz w:val="26"/>
          <w:szCs w:val="26"/>
        </w:rPr>
        <w:t xml:space="preserve">4.4 Anneaux de sandbox</w:t>
      </w:r>
    </w:p>
    <w:p>
      <w:pPr>
        <w:spacing w:after="120" w:line="360"/>
        <w:jc w:val="both"/>
      </w:pPr>
      <w:r>
        <w:rPr>
          <w:rFonts w:ascii="Calibri" w:cs="Calibri" w:eastAsia="Calibri" w:hAnsi="Calibri"/>
          <w:sz w:val="22"/>
          <w:szCs w:val="22"/>
        </w:rPr>
        <w:t xml:space="preserve">Les outils s’exécutent dans l’un des trois anneaux d’isolation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200"/>
        <w:gridCol w:w="24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Anneau</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Accès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Timeout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Mémoire</w:t>
            </w:r>
          </w:p>
        </w:tc>
        <w:tc>
          <w:tcPr>
            <w:tcW w:type="dxa" w:w="2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Teinte de sortie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Ring 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Lecture seule, pas de réseau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5s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64 MB</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UNTRUSTED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Ring 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Lecture/écriture limitée, réseau contrôlé</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30s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256 MB</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UNTRUSTED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Ring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Accès complet (approbation requise)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60s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512 MB</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Hérité de l’entrée</w:t>
            </w:r>
          </w:p>
        </w:tc>
      </w:tr>
    </w:tbl>
    <w:p>
      <w:pPr>
        <w:pStyle w:val="Heading2"/>
        <w:spacing w:after="150" w:before="300"/>
      </w:pPr>
      <w:r>
        <w:rPr>
          <w:rFonts w:ascii="Calibri" w:cs="Calibri" w:eastAsia="Calibri" w:hAnsi="Calibri"/>
          <w:b/>
          <w:bCs/>
          <w:color w:val="2E75B6"/>
          <w:sz w:val="26"/>
          <w:szCs w:val="26"/>
        </w:rPr>
        <w:t xml:space="preserve">4.5 Moteur de politiques Cedar</w:t>
      </w:r>
    </w:p>
    <w:p>
      <w:pPr>
        <w:spacing w:after="120" w:line="360"/>
        <w:jc w:val="both"/>
      </w:pPr>
      <w:r>
        <w:rPr>
          <w:rFonts w:ascii="Calibri" w:cs="Calibri" w:eastAsia="Calibri" w:hAnsi="Calibri"/>
          <w:sz w:val="22"/>
          <w:szCs w:val="22"/>
        </w:rPr>
        <w:t xml:space="preserve">Le moteur de politiques évalue les décisions de contrôle d’accès en temps sub-milliseconde. Le contexte de politique inclut : identité de l’agent (DID), action demandée, ressource cible, score de confiance, TTL de session, nombre d’appels quotidiens, statut d’approbation humaine, anneau de sandbox et étiquette de teinte.</w:t>
      </w:r>
    </w:p>
    <w:p>
      <w:pPr>
        <w:spacing w:after="120" w:line="360"/>
        <w:jc w:val="both"/>
      </w:pPr>
      <w:r>
        <w:rPr>
          <w:rFonts w:ascii="Calibri" w:cs="Calibri" w:eastAsia="Calibri" w:hAnsi="Calibri"/>
          <w:sz w:val="22"/>
          <w:szCs w:val="22"/>
        </w:rPr>
        <w:t xml:space="preserve">Quatre politiques par défaut sont appliquées : seuil de score de confiance (&lt; 40 = bloqué), limite de débit (&gt; 1000 appels/jour = bloqué), Ring 2 requiert une approbation humaine, et expiration de session.</w:t>
      </w:r>
    </w:p>
    <w:p>
      <w:pPr>
        <w:pStyle w:val="Heading2"/>
        <w:spacing w:after="150" w:before="300"/>
      </w:pPr>
      <w:r>
        <w:rPr>
          <w:rFonts w:ascii="Calibri" w:cs="Calibri" w:eastAsia="Calibri" w:hAnsi="Calibri"/>
          <w:b/>
          <w:bCs/>
          <w:color w:val="2E75B6"/>
          <w:sz w:val="26"/>
          <w:szCs w:val="26"/>
        </w:rPr>
        <w:t xml:space="preserve">4.6 Identité décentralisée (DID)</w:t>
      </w:r>
    </w:p>
    <w:p>
      <w:pPr>
        <w:spacing w:after="120" w:line="360"/>
        <w:jc w:val="both"/>
      </w:pPr>
      <w:r>
        <w:rPr>
          <w:rFonts w:ascii="Calibri" w:cs="Calibri" w:eastAsia="Calibri" w:hAnsi="Calibri"/>
          <w:sz w:val="22"/>
          <w:szCs w:val="22"/>
        </w:rPr>
        <w:t xml:space="preserve">Chaque instance Odin génère une identité unique did:odin:&lt;empreinte&gt; basée sur une paire de clés Ed25519. Le DID Document est conforme au standard W3C</w:t>
      </w:r>
      <w:r>
        <w:rPr>
          <w:rFonts w:ascii="Calibri" w:cs="Calibri" w:eastAsia="Calibri" w:hAnsi="Calibri"/>
          <w:sz w:val="22"/>
          <w:szCs w:val="22"/>
        </w:rPr>
        <w:r>
          <w:rPr>
            <w:rStyle w:val="FootnoteReference"/>
          </w:rPr>
          <w:footnoteReference w:id="5"/>
        </w:r>
      </w:r>
      <w:r>
        <w:rPr>
          <w:rFonts w:ascii="Calibri" w:cs="Calibri" w:eastAsia="Calibri" w:hAnsi="Calibri"/>
          <w:sz w:val="22"/>
          <w:szCs w:val="22"/>
        </w:rPr>
        <w:t xml:space="preserve"> et contient la méthode de vérification, les capacités et le score de confiance. Pour la délégation de tâches (A2A), Odin émet des </w:t>
      </w:r>
      <w:r>
        <w:rPr>
          <w:rFonts w:ascii="Calibri" w:cs="Calibri" w:eastAsia="Calibri" w:hAnsi="Calibri"/>
          <w:b/>
          <w:bCs/>
          <w:sz w:val="22"/>
          <w:szCs w:val="22"/>
        </w:rPr>
        <w:t xml:space="preserve">credentials éphémères à portée d’intention</w:t>
      </w:r>
      <w:r>
        <w:rPr>
          <w:rFonts w:ascii="Calibri" w:cs="Calibri" w:eastAsia="Calibri" w:hAnsi="Calibri"/>
          <w:sz w:val="22"/>
          <w:szCs w:val="22"/>
        </w:rPr>
        <w:t xml:space="preserve"> (Intent-Scoped Ephemeral Credentials) qui sont signés, limités dans le temps et révocables.</w:t>
      </w:r>
    </w:p>
    <w:p>
      <w:r>
        <w:br w:type="page"/>
      </w:r>
    </w:p>
    <w:p>
      <w:pPr>
        <w:pStyle w:val="Heading1"/>
        <w:spacing w:after="200" w:before="400"/>
      </w:pPr>
      <w:r>
        <w:rPr>
          <w:rFonts w:ascii="Calibri" w:cs="Calibri" w:eastAsia="Calibri" w:hAnsi="Calibri"/>
          <w:b/>
          <w:bCs/>
          <w:color w:val="1F4E79"/>
          <w:sz w:val="32"/>
          <w:szCs w:val="32"/>
        </w:rPr>
        <w:t xml:space="preserve">5. Architecture cognitive</w:t>
      </w:r>
    </w:p>
    <w:p>
      <w:pPr>
        <w:spacing w:after="120" w:line="360"/>
        <w:jc w:val="both"/>
      </w:pPr>
      <w:r>
        <w:rPr>
          <w:rFonts w:ascii="Calibri" w:cs="Calibri" w:eastAsia="Calibri" w:hAnsi="Calibri"/>
          <w:sz w:val="22"/>
          <w:szCs w:val="22"/>
        </w:rPr>
        <w:t xml:space="preserve">L’architecture cognitive d’Odin est construite en trois phases progressives, chacune ajoutant des capacités de raisonnement et d’autonomie supplémentaires.</w:t>
      </w:r>
    </w:p>
    <w:p>
      <w:pPr>
        <w:pStyle w:val="Heading2"/>
        <w:spacing w:after="150" w:before="300"/>
      </w:pPr>
      <w:r>
        <w:rPr>
          <w:rFonts w:ascii="Calibri" w:cs="Calibri" w:eastAsia="Calibri" w:hAnsi="Calibri"/>
          <w:b/>
          <w:bCs/>
          <w:color w:val="2E75B6"/>
          <w:sz w:val="26"/>
          <w:szCs w:val="26"/>
        </w:rPr>
        <w:t xml:space="preserve">5.1 Phase 1 : Fondation</w:t>
      </w:r>
    </w:p>
    <w:p>
      <w:pPr>
        <w:pStyle w:val="Heading3"/>
        <w:spacing w:after="100" w:before="200"/>
      </w:pPr>
      <w:r>
        <w:rPr>
          <w:rFonts w:ascii="Calibri" w:cs="Calibri" w:eastAsia="Calibri" w:hAnsi="Calibri"/>
          <w:b/>
          <w:bCs/>
          <w:color w:val="4A4A4A"/>
          <w:sz w:val="22"/>
          <w:szCs w:val="22"/>
        </w:rPr>
        <w:t xml:space="preserve">5.1.1 Mémoire épisodique (graphe)</w:t>
      </w:r>
    </w:p>
    <w:p>
      <w:pPr>
        <w:spacing w:after="120" w:line="360"/>
        <w:jc w:val="both"/>
      </w:pPr>
      <w:r>
        <w:rPr>
          <w:rFonts w:ascii="Calibri" w:cs="Calibri" w:eastAsia="Calibri" w:hAnsi="Calibri"/>
          <w:sz w:val="22"/>
          <w:szCs w:val="22"/>
        </w:rPr>
        <w:t xml:space="preserve">Odin maintient une mémoire épisodique basée sur un graphe stocké en SQLite. Les entités représentent des concepts nommés avec des types, des compteurs d’observation et une décroissance temporelle. Les arêtes représentent des relations typées entre entités avec des poids. Le parcours BFS (Breadth-First Search) du voisinage permet le rappel associatif.</w:t>
      </w:r>
    </w:p>
    <w:p>
      <w:pPr>
        <w:spacing w:after="120" w:line="360"/>
        <w:jc w:val="both"/>
      </w:pPr>
      <w:r>
        <w:rPr>
          <w:rFonts w:ascii="Calibri" w:cs="Calibri" w:eastAsia="Calibri" w:hAnsi="Calibri"/>
          <w:sz w:val="22"/>
          <w:szCs w:val="22"/>
        </w:rPr>
        <w:t xml:space="preserve">Innovation clé : la décroissance temporelle avec demi-vie configurable. Les entités non renforcées par de nouvelles observations s’estompent progressivement, empêchant la surcharge mémoire tout en préservant les connaissances fréquemment utilisées.</w:t>
      </w:r>
    </w:p>
    <w:p>
      <w:pPr>
        <w:pStyle w:val="Heading3"/>
        <w:spacing w:after="100" w:before="200"/>
      </w:pPr>
      <w:r>
        <w:rPr>
          <w:rFonts w:ascii="Calibri" w:cs="Calibri" w:eastAsia="Calibri" w:hAnsi="Calibri"/>
          <w:b/>
          <w:bCs/>
          <w:color w:val="4A4A4A"/>
          <w:sz w:val="22"/>
          <w:szCs w:val="22"/>
        </w:rPr>
        <w:t xml:space="preserve">5.1.2 Taxonomie CIK</w:t>
      </w:r>
    </w:p>
    <w:p>
      <w:pPr>
        <w:spacing w:after="120" w:line="360"/>
        <w:jc w:val="both"/>
      </w:pPr>
      <w:r>
        <w:rPr>
          <w:rFonts w:ascii="Calibri" w:cs="Calibri" w:eastAsia="Calibri" w:hAnsi="Calibri"/>
          <w:sz w:val="22"/>
          <w:szCs w:val="22"/>
        </w:rPr>
        <w:t xml:space="preserve">La taxonomie CIK (Capabilities, Identity, Knowledge) constitue le modèle d’auto-conscience de l’agent. Les Capacités définissent ce que l’agent peut faire (avec niveau de confiance et contraintes). L’Identité définit qui est l’agent (DID, tier de confiance, immutabilité). La Connaissance définit ce que l’agent sait (faits avec confiance, source, contradictions).</w:t>
      </w:r>
    </w:p>
    <w:p>
      <w:pPr>
        <w:pStyle w:val="Heading3"/>
        <w:spacing w:after="100" w:before="200"/>
      </w:pPr>
      <w:r>
        <w:rPr>
          <w:rFonts w:ascii="Calibri" w:cs="Calibri" w:eastAsia="Calibri" w:hAnsi="Calibri"/>
          <w:b/>
          <w:bCs/>
          <w:color w:val="4A4A4A"/>
          <w:sz w:val="22"/>
          <w:szCs w:val="22"/>
        </w:rPr>
        <w:t xml:space="preserve">5.1.3 Raisonnement Model-First</w:t>
      </w:r>
    </w:p>
    <w:p>
      <w:pPr>
        <w:spacing w:after="120" w:line="360"/>
        <w:jc w:val="both"/>
      </w:pPr>
      <w:r>
        <w:rPr>
          <w:rFonts w:ascii="Calibri" w:cs="Calibri" w:eastAsia="Calibri" w:hAnsi="Calibri"/>
          <w:sz w:val="22"/>
          <w:szCs w:val="22"/>
        </w:rPr>
        <w:t xml:space="preserve">Le ModelFirstReasoner maintient un modèle du monde interne — un ensemble de croyances sur l’état actuel de l’environnement. Avant chaque action, le raisonneur génère des prédictions. Après l’action, les prédictions sont comparées à la réalité : les écarts déclenchent l’apprentissage.</w:t>
      </w:r>
    </w:p>
    <w:p>
      <w:pPr>
        <w:pStyle w:val="Heading2"/>
        <w:spacing w:after="150" w:before="300"/>
      </w:pPr>
      <w:r>
        <w:rPr>
          <w:rFonts w:ascii="Calibri" w:cs="Calibri" w:eastAsia="Calibri" w:hAnsi="Calibri"/>
          <w:b/>
          <w:bCs/>
          <w:color w:val="2E75B6"/>
          <w:sz w:val="26"/>
          <w:szCs w:val="26"/>
        </w:rPr>
        <w:t xml:space="preserve">5.2 Phase 2 : Autonomie</w:t>
      </w:r>
    </w:p>
    <w:p>
      <w:pPr>
        <w:pStyle w:val="Heading3"/>
        <w:spacing w:after="100" w:before="200"/>
      </w:pPr>
      <w:r>
        <w:rPr>
          <w:rFonts w:ascii="Calibri" w:cs="Calibri" w:eastAsia="Calibri" w:hAnsi="Calibri"/>
          <w:b/>
          <w:bCs/>
          <w:color w:val="4A4A4A"/>
          <w:sz w:val="22"/>
          <w:szCs w:val="22"/>
        </w:rPr>
        <w:t xml:space="preserve">5.2.1 Agent de sommeil (SleepAgent)</w:t>
      </w:r>
    </w:p>
    <w:p>
      <w:pPr>
        <w:spacing w:after="120" w:line="360"/>
        <w:jc w:val="both"/>
      </w:pPr>
      <w:r>
        <w:rPr>
          <w:rFonts w:ascii="Calibri" w:cs="Calibri" w:eastAsia="Calibri" w:hAnsi="Calibri"/>
          <w:sz w:val="22"/>
          <w:szCs w:val="22"/>
        </w:rPr>
        <w:t xml:space="preserve">Inspiré de la consolidation biologique de la mémoire, le SleepAgent s’exécute pendant les périodes d’inactivité pour fusionner les entités dupliquées, élaguer les souvenirs faibles, extraire les patterns récurrents et résoudre les contradictions de connaissance.</w:t>
      </w:r>
    </w:p>
    <w:p>
      <w:pPr>
        <w:pStyle w:val="Heading3"/>
        <w:spacing w:after="100" w:before="200"/>
      </w:pPr>
      <w:r>
        <w:rPr>
          <w:rFonts w:ascii="Calibri" w:cs="Calibri" w:eastAsia="Calibri" w:hAnsi="Calibri"/>
          <w:b/>
          <w:bCs/>
          <w:color w:val="4A4A4A"/>
          <w:sz w:val="22"/>
          <w:szCs w:val="22"/>
        </w:rPr>
        <w:t xml:space="preserve">5.2.2 Sandbox d’évolution</w:t>
      </w:r>
    </w:p>
    <w:p>
      <w:pPr>
        <w:spacing w:after="120" w:line="360"/>
        <w:jc w:val="both"/>
      </w:pPr>
      <w:r>
        <w:rPr>
          <w:rFonts w:ascii="Calibri" w:cs="Calibri" w:eastAsia="Calibri" w:hAnsi="Calibri"/>
          <w:sz w:val="22"/>
          <w:szCs w:val="22"/>
        </w:rPr>
        <w:t xml:space="preserve">Odin peut modifier son propre comportement à travers un mécanisme d’évolution contrôlé. La progression T1 → T2 → T3 → T4 est protégée par un SafetyGate : pas de saut de tier, preuves requises, rollback automatique en cas d’échec.</w:t>
      </w:r>
    </w:p>
    <w:p>
      <w:pPr>
        <w:pStyle w:val="Heading3"/>
        <w:spacing w:after="100" w:before="200"/>
      </w:pPr>
      <w:r>
        <w:rPr>
          <w:rFonts w:ascii="Calibri" w:cs="Calibri" w:eastAsia="Calibri" w:hAnsi="Calibri"/>
          <w:b/>
          <w:bCs/>
          <w:color w:val="4A4A4A"/>
          <w:sz w:val="22"/>
          <w:szCs w:val="22"/>
        </w:rPr>
        <w:t xml:space="preserve">5.2.3 Contrôleur A-MEM</w:t>
      </w:r>
    </w:p>
    <w:p>
      <w:pPr>
        <w:spacing w:after="120" w:line="360"/>
        <w:jc w:val="both"/>
      </w:pPr>
      <w:r>
        <w:rPr>
          <w:rFonts w:ascii="Calibri" w:cs="Calibri" w:eastAsia="Calibri" w:hAnsi="Calibri"/>
          <w:sz w:val="22"/>
          <w:szCs w:val="22"/>
        </w:rPr>
        <w:t xml:space="preserve">Le contrôleur Augmented Memory convertit l’expérience brute en procédures réutilisables. Les trajectoires (séquences d’appels d’outils) sont enregistrées puis compressées en résumés procéduraux stockés pour les tâches futures similaires.</w:t>
      </w:r>
    </w:p>
    <w:p>
      <w:pPr>
        <w:pStyle w:val="Heading2"/>
        <w:spacing w:after="150" w:before="300"/>
      </w:pPr>
      <w:r>
        <w:rPr>
          <w:rFonts w:ascii="Calibri" w:cs="Calibri" w:eastAsia="Calibri" w:hAnsi="Calibri"/>
          <w:b/>
          <w:bCs/>
          <w:color w:val="2E75B6"/>
          <w:sz w:val="26"/>
          <w:szCs w:val="26"/>
        </w:rPr>
        <w:t xml:space="preserve">5.3 Phase 3 : Raisonnement avancé</w:t>
      </w:r>
    </w:p>
    <w:p>
      <w:pPr>
        <w:pStyle w:val="Heading3"/>
        <w:spacing w:after="100" w:before="200"/>
      </w:pPr>
      <w:r>
        <w:rPr>
          <w:rFonts w:ascii="Calibri" w:cs="Calibri" w:eastAsia="Calibri" w:hAnsi="Calibri"/>
          <w:b/>
          <w:bCs/>
          <w:color w:val="4A4A4A"/>
          <w:sz w:val="22"/>
          <w:szCs w:val="22"/>
        </w:rPr>
        <w:t xml:space="preserve">5.3.1 Planificateur hiérarchique MCTS</w:t>
      </w:r>
    </w:p>
    <w:p>
      <w:pPr>
        <w:spacing w:after="120" w:line="360"/>
        <w:jc w:val="both"/>
      </w:pPr>
      <w:r>
        <w:rPr>
          <w:rFonts w:ascii="Calibri" w:cs="Calibri" w:eastAsia="Calibri" w:hAnsi="Calibri"/>
          <w:sz w:val="22"/>
          <w:szCs w:val="22"/>
        </w:rPr>
        <w:t xml:space="preserve">Odin utilise le Monte Carlo Tree Search (MCTS)</w:t>
      </w:r>
      <w:r>
        <w:rPr>
          <w:rFonts w:ascii="Calibri" w:cs="Calibri" w:eastAsia="Calibri" w:hAnsi="Calibri"/>
          <w:sz w:val="22"/>
          <w:szCs w:val="22"/>
        </w:rPr>
        <w:r>
          <w:rPr>
            <w:rStyle w:val="FootnoteReference"/>
          </w:rPr>
          <w:footnoteReference w:id="4"/>
        </w:r>
      </w:r>
      <w:r>
        <w:rPr>
          <w:rFonts w:ascii="Calibri" w:cs="Calibri" w:eastAsia="Calibri" w:hAnsi="Calibri"/>
          <w:sz w:val="22"/>
          <w:szCs w:val="22"/>
        </w:rPr>
        <w:t xml:space="preserve"> pour la planification multi-étapes. L’algorithme suit quatre phases : Sélection (UCB1), Expansion, Simulation (rollout) et Rétropropagation. Les objectifs de haut niveau se décomposent en sous-objectifs, chacun avec son propre arbre MCTS.</w:t>
      </w:r>
    </w:p>
    <w:p>
      <w:pPr>
        <w:pStyle w:val="Heading3"/>
        <w:spacing w:after="100" w:before="200"/>
      </w:pPr>
      <w:r>
        <w:rPr>
          <w:rFonts w:ascii="Calibri" w:cs="Calibri" w:eastAsia="Calibri" w:hAnsi="Calibri"/>
          <w:b/>
          <w:bCs/>
          <w:color w:val="4A4A4A"/>
          <w:sz w:val="22"/>
          <w:szCs w:val="22"/>
        </w:rPr>
        <w:t xml:space="preserve">5.3.2 Moteur de raisonnement causal</w:t>
      </w:r>
    </w:p>
    <w:p>
      <w:pPr>
        <w:spacing w:after="120" w:line="360"/>
        <w:jc w:val="both"/>
      </w:pPr>
      <w:r>
        <w:rPr>
          <w:rFonts w:ascii="Calibri" w:cs="Calibri" w:eastAsia="Calibri" w:hAnsi="Calibri"/>
          <w:sz w:val="22"/>
          <w:szCs w:val="22"/>
        </w:rPr>
        <w:t xml:space="preserve">Odin implémente les trois niveaux de la hiérarchie causale de Pearl</w:t>
      </w:r>
      <w:r>
        <w:rPr>
          <w:rFonts w:ascii="Calibri" w:cs="Calibri" w:eastAsia="Calibri" w:hAnsi="Calibri"/>
          <w:sz w:val="22"/>
          <w:szCs w:val="22"/>
        </w:rPr>
        <w:r>
          <w:rPr>
            <w:rStyle w:val="FootnoteReference"/>
          </w:rPr>
          <w:footnoteReference w:id="1"/>
        </w:r>
      </w:r>
      <w:r>
        <w:rPr>
          <w:rFonts w:ascii="Calibri" w:cs="Calibri" w:eastAsia="Calibri" w:hAnsi="Calibri"/>
          <w:sz w:val="22"/>
          <w:szCs w:val="22"/>
        </w:rPr>
        <w:t xml:space="preserve"> via des Modèles Causaux Structurels (SCM) :</w:t>
      </w:r>
    </w:p>
    <w:p>
      <w:pPr>
        <w:pStyle w:val="ListParagraph"/>
        <w:numPr>
          <w:ilvl w:val="0"/>
          <w:numId w:val="5"/>
        </w:numPr>
        <w:spacing w:after="80" w:line="340"/>
      </w:pPr>
      <w:r>
        <w:rPr>
          <w:rFonts w:ascii="Calibri" w:cs="Calibri" w:eastAsia="Calibri" w:hAnsi="Calibri"/>
          <w:sz w:val="22"/>
          <w:szCs w:val="22"/>
        </w:rPr>
        <w:t xml:space="preserve">Niveau 1 — Association : P(Y|X), propagation par tri topologique.</w:t>
      </w:r>
    </w:p>
    <w:p>
      <w:pPr>
        <w:pStyle w:val="ListParagraph"/>
        <w:numPr>
          <w:ilvl w:val="0"/>
          <w:numId w:val="5"/>
        </w:numPr>
        <w:spacing w:after="80" w:line="340"/>
      </w:pPr>
      <w:r>
        <w:rPr>
          <w:rFonts w:ascii="Calibri" w:cs="Calibri" w:eastAsia="Calibri" w:hAnsi="Calibri"/>
          <w:sz w:val="22"/>
          <w:szCs w:val="22"/>
        </w:rPr>
        <w:t xml:space="preserve">Niveau 2 — Intervention : P(Y|do(X)), do-calculus par mutilation de graphe.</w:t>
      </w:r>
    </w:p>
    <w:p>
      <w:pPr>
        <w:pStyle w:val="ListParagraph"/>
        <w:numPr>
          <w:ilvl w:val="0"/>
          <w:numId w:val="5"/>
        </w:numPr>
        <w:spacing w:after="80" w:line="340"/>
      </w:pPr>
      <w:r>
        <w:rPr>
          <w:rFonts w:ascii="Calibri" w:cs="Calibri" w:eastAsia="Calibri" w:hAnsi="Calibri"/>
          <w:sz w:val="22"/>
          <w:szCs w:val="22"/>
        </w:rPr>
        <w:t xml:space="preserve">Niveau 3 — Contrefactuel : algorithme en 3 étapes de Pearl (Abduction, Action, Prédiction).</w:t>
      </w:r>
    </w:p>
    <w:p>
      <w:pPr>
        <w:spacing w:after="120" w:line="360"/>
        <w:jc w:val="both"/>
      </w:pPr>
      <w:r>
        <w:rPr>
          <w:rFonts w:ascii="Calibri" w:cs="Calibri" w:eastAsia="Calibri" w:hAnsi="Calibri"/>
          <w:sz w:val="22"/>
          <w:szCs w:val="22"/>
        </w:rPr>
        <w:t xml:space="preserve">Application : après un échec d’outil, le CausalEngine construit un modèle de défaillance et exécute des requêtes contrefactuelles pour générer des améliorations actionnables.</w:t>
      </w:r>
    </w:p>
    <w:p>
      <w:pPr>
        <w:pStyle w:val="Heading3"/>
        <w:spacing w:after="100" w:before="200"/>
      </w:pPr>
      <w:r>
        <w:rPr>
          <w:rFonts w:ascii="Calibri" w:cs="Calibri" w:eastAsia="Calibri" w:hAnsi="Calibri"/>
          <w:b/>
          <w:bCs/>
          <w:color w:val="4A4A4A"/>
          <w:sz w:val="22"/>
          <w:szCs w:val="22"/>
        </w:rPr>
        <w:t xml:space="preserve">5.3.3 Invariants formels TLA+</w:t>
      </w:r>
    </w:p>
    <w:p>
      <w:pPr>
        <w:spacing w:after="120" w:line="360"/>
        <w:jc w:val="both"/>
      </w:pPr>
      <w:r>
        <w:rPr>
          <w:rFonts w:ascii="Calibri" w:cs="Calibri" w:eastAsia="Calibri" w:hAnsi="Calibri"/>
          <w:sz w:val="22"/>
          <w:szCs w:val="22"/>
        </w:rPr>
        <w:t xml:space="preserve">Six invariants inspirés de TLA+</w:t>
      </w:r>
      <w:r>
        <w:rPr>
          <w:rFonts w:ascii="Calibri" w:cs="Calibri" w:eastAsia="Calibri" w:hAnsi="Calibri"/>
          <w:sz w:val="22"/>
          <w:szCs w:val="22"/>
        </w:rPr>
        <w:r>
          <w:rPr>
            <w:rStyle w:val="FootnoteReference"/>
          </w:rPr>
          <w:footnoteReference w:id="8"/>
        </w:r>
      </w:r>
      <w:r>
        <w:rPr>
          <w:rFonts w:ascii="Calibri" w:cs="Calibri" w:eastAsia="Calibri" w:hAnsi="Calibri"/>
          <w:sz w:val="22"/>
          <w:szCs w:val="22"/>
        </w:rPr>
        <w:t xml:space="preserve"> vérifient en continu les propriétés de sécurité du CIK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Invariant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Sévérité</w:t>
            </w:r>
          </w:p>
        </w:tc>
        <w:tc>
          <w:tcPr>
            <w:tcW w:type="dxa" w:w="46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Vérification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KNOWLEDGE_CONSISTENCY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Warning</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Confiance dans [0, 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CONFIDENCE_BOUNDS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Error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Pas de valeurs hors limites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TIER_CONFIDENCE_ALIGNMENT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Warning</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Tiers supérieurs = confiance minimale plus élevée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TEMPORAL_ORDERING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Error</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Timestamps non dans le futur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IDENTITY_IMMUTABILITY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Critical</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DID inchangé depuis l’initialisation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KNOWLEDGE_CONTRADICTION_RATIO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Warning</w:t>
            </w:r>
          </w:p>
        </w:tc>
        <w:tc>
          <w:tcPr>
            <w:tcW w:type="dxa" w:w="4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Contradictions &lt; 10% des connaissances</w:t>
            </w:r>
          </w:p>
        </w:tc>
      </w:tr>
    </w:tbl>
    <w:p>
      <w:pPr>
        <w:pStyle w:val="Heading3"/>
        <w:spacing w:after="100" w:before="200"/>
      </w:pPr>
      <w:r>
        <w:rPr>
          <w:rFonts w:ascii="Calibri" w:cs="Calibri" w:eastAsia="Calibri" w:hAnsi="Calibri"/>
          <w:b/>
          <w:bCs/>
          <w:color w:val="4A4A4A"/>
          <w:sz w:val="22"/>
          <w:szCs w:val="22"/>
        </w:rPr>
        <w:t xml:space="preserve">5.3.4 Boucle d’auto-amélioration contrefactuelle</w:t>
      </w:r>
    </w:p>
    <w:p>
      <w:pPr>
        <w:spacing w:after="120" w:line="360"/>
        <w:jc w:val="both"/>
      </w:pPr>
      <w:r>
        <w:rPr>
          <w:rFonts w:ascii="Calibri" w:cs="Calibri" w:eastAsia="Calibri" w:hAnsi="Calibri"/>
          <w:sz w:val="22"/>
          <w:szCs w:val="22"/>
        </w:rPr>
        <w:t xml:space="preserve">Le système d’amélioration en boucle fermée apprend continuellement des échecs. Les cinq sources de défaillance (tool_failure, prediction_error, evolution_rejected, plan_failure, invariant_violation) alimentent une analyse causale qui génère des insights contrefactuels appliqués au CIK, au modèle du monde et au sandbox d’évolution.</w:t>
      </w:r>
    </w:p>
    <w:p>
      <w:r>
        <w:br w:type="page"/>
      </w:r>
    </w:p>
    <w:p>
      <w:pPr>
        <w:pStyle w:val="Heading1"/>
        <w:spacing w:after="200" w:before="400"/>
      </w:pPr>
      <w:r>
        <w:rPr>
          <w:rFonts w:ascii="Calibri" w:cs="Calibri" w:eastAsia="Calibri" w:hAnsi="Calibri"/>
          <w:b/>
          <w:bCs/>
          <w:color w:val="1F4E79"/>
          <w:sz w:val="32"/>
          <w:szCs w:val="32"/>
        </w:rPr>
        <w:t xml:space="preserve">6. Protocole Agent-to-Agent (A2A)</w:t>
      </w:r>
    </w:p>
    <w:p>
      <w:pPr>
        <w:pStyle w:val="Heading2"/>
        <w:spacing w:after="150" w:before="300"/>
      </w:pPr>
      <w:r>
        <w:rPr>
          <w:rFonts w:ascii="Calibri" w:cs="Calibri" w:eastAsia="Calibri" w:hAnsi="Calibri"/>
          <w:b/>
          <w:bCs/>
          <w:color w:val="2E75B6"/>
          <w:sz w:val="26"/>
          <w:szCs w:val="26"/>
        </w:rPr>
        <w:t xml:space="preserve">6.1 Découverte d’agents</w:t>
      </w:r>
    </w:p>
    <w:p>
      <w:pPr>
        <w:spacing w:after="120" w:line="360"/>
        <w:jc w:val="both"/>
      </w:pPr>
      <w:r>
        <w:rPr>
          <w:rFonts w:ascii="Calibri" w:cs="Calibri" w:eastAsia="Calibri" w:hAnsi="Calibri"/>
          <w:sz w:val="22"/>
          <w:szCs w:val="22"/>
        </w:rPr>
        <w:t xml:space="preserve">Chaque instance Odin expose un AgentCard à l’endpoint /.well-known/agent.json, contenant son nom, DID, description, capacités, endpoints (A2A et health), score de confiance et signature Ed25519.</w:t>
      </w:r>
    </w:p>
    <w:p>
      <w:pPr>
        <w:pStyle w:val="Heading2"/>
        <w:spacing w:after="150" w:before="300"/>
      </w:pPr>
      <w:r>
        <w:rPr>
          <w:rFonts w:ascii="Calibri" w:cs="Calibri" w:eastAsia="Calibri" w:hAnsi="Calibri"/>
          <w:b/>
          <w:bCs/>
          <w:color w:val="2E75B6"/>
          <w:sz w:val="26"/>
          <w:szCs w:val="26"/>
        </w:rPr>
        <w:t xml:space="preserve">6.2 Types de messages</w:t>
      </w:r>
    </w:p>
    <w:p>
      <w:pPr>
        <w:spacing w:after="120" w:line="360"/>
        <w:jc w:val="both"/>
      </w:pPr>
      <w:r>
        <w:rPr>
          <w:rFonts w:ascii="Calibri" w:cs="Calibri" w:eastAsia="Calibri" w:hAnsi="Calibri"/>
          <w:sz w:val="22"/>
          <w:szCs w:val="22"/>
        </w:rPr>
        <w:t xml:space="preserve">Le protocole définit huit types de messages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Direction</w:t>
            </w:r>
          </w:p>
        </w:tc>
        <w:tc>
          <w:tcPr>
            <w:tcW w:type="dxa" w:w="5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Fonction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task/send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Déléguer une tâche avec credentials éphémères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task/result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Retourner le résultat d’exécution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task/status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Interroger la progression d’une tâche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task/cancel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Annuler une tâche en cours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peer/discover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Découverte mutuelle d’agents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peer/heartbeat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Keep-alive avec score de confiance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trust/query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Peer</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Interroger la réputation d’un pair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trust/report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 Réseau</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Signaler un incident de confiance</w:t>
            </w:r>
          </w:p>
        </w:tc>
      </w:tr>
    </w:tbl>
    <w:p>
      <w:pPr>
        <w:pStyle w:val="Heading2"/>
        <w:spacing w:after="150" w:before="300"/>
      </w:pPr>
      <w:r>
        <w:rPr>
          <w:rFonts w:ascii="Calibri" w:cs="Calibri" w:eastAsia="Calibri" w:hAnsi="Calibri"/>
          <w:b/>
          <w:bCs/>
          <w:color w:val="2E75B6"/>
          <w:sz w:val="26"/>
          <w:szCs w:val="26"/>
        </w:rPr>
        <w:t xml:space="preserve">6.3 Propriétés de sécurité</w:t>
      </w:r>
    </w:p>
    <w:p>
      <w:pPr>
        <w:spacing w:after="120" w:line="360"/>
        <w:jc w:val="both"/>
      </w:pPr>
      <w:r>
        <w:rPr>
          <w:rFonts w:ascii="Calibri" w:cs="Calibri" w:eastAsia="Calibri" w:hAnsi="Calibri"/>
          <w:sz w:val="22"/>
          <w:szCs w:val="22"/>
        </w:rPr>
        <w:t xml:space="preserve">Chaque message A2A est encapsulé dans une enveloppe contenant la version du protocole, le type, un identifiant unique, les DID source et destination, un horodatage ISO et une signature Ed25519 du payload. Les propriétés de sécurité garanties sont :</w:t>
      </w:r>
    </w:p>
    <w:p>
      <w:pPr>
        <w:pStyle w:val="ListParagraph"/>
        <w:numPr>
          <w:ilvl w:val="0"/>
          <w:numId w:val="6"/>
        </w:numPr>
        <w:spacing w:after="80" w:line="340"/>
      </w:pPr>
      <w:r>
        <w:rPr>
          <w:rFonts w:ascii="Calibri" w:cs="Calibri" w:eastAsia="Calibri" w:hAnsi="Calibri"/>
          <w:sz w:val="22"/>
          <w:szCs w:val="22"/>
        </w:rPr>
        <w:t xml:space="preserve">Chaque message est signé avec la clé Ed25519 de l’expéditeur.</w:t>
      </w:r>
    </w:p>
    <w:p>
      <w:pPr>
        <w:pStyle w:val="ListParagraph"/>
        <w:numPr>
          <w:ilvl w:val="0"/>
          <w:numId w:val="6"/>
        </w:numPr>
        <w:spacing w:after="80" w:line="340"/>
      </w:pPr>
      <w:r>
        <w:rPr>
          <w:rFonts w:ascii="Calibri" w:cs="Calibri" w:eastAsia="Calibri" w:hAnsi="Calibri"/>
          <w:sz w:val="22"/>
          <w:szCs w:val="22"/>
        </w:rPr>
        <w:t xml:space="preserve">Les AgentCards des pairs sont vérifiés via le Trust Mesh AgentLayers.</w:t>
      </w:r>
    </w:p>
    <w:p>
      <w:pPr>
        <w:pStyle w:val="ListParagraph"/>
        <w:numPr>
          <w:ilvl w:val="0"/>
          <w:numId w:val="6"/>
        </w:numPr>
        <w:spacing w:after="80" w:line="340"/>
      </w:pPr>
      <w:r>
        <w:rPr>
          <w:rFonts w:ascii="Calibri" w:cs="Calibri" w:eastAsia="Calibri" w:hAnsi="Calibri"/>
          <w:sz w:val="22"/>
          <w:szCs w:val="22"/>
        </w:rPr>
        <w:t xml:space="preserve">Les disjoncteurs protègent contre les pairs non fiables.</w:t>
      </w:r>
    </w:p>
    <w:p>
      <w:pPr>
        <w:pStyle w:val="ListParagraph"/>
        <w:numPr>
          <w:ilvl w:val="0"/>
          <w:numId w:val="6"/>
        </w:numPr>
        <w:spacing w:after="80" w:line="340"/>
      </w:pPr>
      <w:r>
        <w:rPr>
          <w:rFonts w:ascii="Calibri" w:cs="Calibri" w:eastAsia="Calibri" w:hAnsi="Calibri"/>
          <w:sz w:val="22"/>
          <w:szCs w:val="22"/>
        </w:rPr>
        <w:t xml:space="preserve">Les credentials éphémères sont limités à la tâche et au temps.</w:t>
      </w:r>
    </w:p>
    <w:p>
      <w:pPr>
        <w:pStyle w:val="ListParagraph"/>
        <w:numPr>
          <w:ilvl w:val="0"/>
          <w:numId w:val="6"/>
        </w:numPr>
        <w:spacing w:after="80" w:line="340"/>
      </w:pPr>
      <w:r>
        <w:rPr>
          <w:rFonts w:ascii="Calibri" w:cs="Calibri" w:eastAsia="Calibri" w:hAnsi="Calibri"/>
          <w:sz w:val="22"/>
          <w:szCs w:val="22"/>
        </w:rPr>
        <w:t xml:space="preserve">Toutes les interactions A2A sont auditées.</w:t>
      </w:r>
    </w:p>
    <w:p>
      <w:pPr>
        <w:pStyle w:val="Heading2"/>
        <w:spacing w:after="150" w:before="300"/>
      </w:pPr>
      <w:r>
        <w:rPr>
          <w:rFonts w:ascii="Calibri" w:cs="Calibri" w:eastAsia="Calibri" w:hAnsi="Calibri"/>
          <w:b/>
          <w:bCs/>
          <w:color w:val="2E75B6"/>
          <w:sz w:val="26"/>
          <w:szCs w:val="26"/>
        </w:rPr>
        <w:t xml:space="preserve">6.4 Disjoncteur à 5 états</w:t>
      </w:r>
    </w:p>
    <w:p>
      <w:pPr>
        <w:spacing w:after="120" w:line="360"/>
        <w:jc w:val="both"/>
      </w:pPr>
      <w:r>
        <w:rPr>
          <w:rFonts w:ascii="Calibri" w:cs="Calibri" w:eastAsia="Calibri" w:hAnsi="Calibri"/>
          <w:sz w:val="22"/>
          <w:szCs w:val="22"/>
        </w:rPr>
        <w:t xml:space="preserve">Innovation par rapport aux disjoncteurs classiques à 3 états, Odin ajoute un état DEGRADED pour une fonctionnalité partielle gracieuse. Les transitions sont : CLOSED → DEGRADED (seuil de dégradation), DEGRADED → OPEN (seuil de défaillance), OPEN → HALF_OPEN (timeout de récupération), HALF_OPEN → CLOSED (2 succès consécutifs).</w:t>
      </w:r>
    </w:p>
    <w:p>
      <w:pPr>
        <w:spacing w:after="120" w:line="360"/>
        <w:jc w:val="both"/>
      </w:pPr>
      <w:r>
        <w:rPr>
          <w:rFonts w:ascii="Calibri" w:cs="Calibri" w:eastAsia="Calibri" w:hAnsi="Calibri"/>
          <w:sz w:val="22"/>
          <w:szCs w:val="22"/>
        </w:rPr>
        <w:t xml:space="preserve">Innovation supplémentaire : la </w:t>
      </w:r>
      <w:r>
        <w:rPr>
          <w:rFonts w:ascii="Calibri" w:cs="Calibri" w:eastAsia="Calibri" w:hAnsi="Calibri"/>
          <w:b/>
          <w:bCs/>
          <w:sz w:val="22"/>
          <w:szCs w:val="22"/>
        </w:rPr>
        <w:t xml:space="preserve">détection de défaillances sémantiques</w:t>
      </w:r>
      <w:r>
        <w:rPr>
          <w:rFonts w:ascii="Calibri" w:cs="Calibri" w:eastAsia="Calibri" w:hAnsi="Calibri"/>
          <w:sz w:val="22"/>
          <w:szCs w:val="22"/>
        </w:rPr>
        <w:t xml:space="preserve">. Une réponse HTTP 200 OK contenant un contenu halluciné est détectée via un validateur sémantique et compte comme une double défaillance.</w:t>
      </w:r>
    </w:p>
    <w:p>
      <w:r>
        <w:br w:type="page"/>
      </w:r>
    </w:p>
    <w:p>
      <w:pPr>
        <w:pStyle w:val="Heading1"/>
        <w:spacing w:after="200" w:before="400"/>
      </w:pPr>
      <w:r>
        <w:rPr>
          <w:rFonts w:ascii="Calibri" w:cs="Calibri" w:eastAsia="Calibri" w:hAnsi="Calibri"/>
          <w:b/>
          <w:bCs/>
          <w:color w:val="1F4E79"/>
          <w:sz w:val="32"/>
          <w:szCs w:val="32"/>
        </w:rPr>
        <w:t xml:space="preserve">7. Résultats expérimentaux</w:t>
      </w:r>
    </w:p>
    <w:p>
      <w:pPr>
        <w:pStyle w:val="Heading2"/>
        <w:spacing w:after="150" w:before="300"/>
      </w:pPr>
      <w:r>
        <w:rPr>
          <w:rFonts w:ascii="Calibri" w:cs="Calibri" w:eastAsia="Calibri" w:hAnsi="Calibri"/>
          <w:b/>
          <w:bCs/>
          <w:color w:val="2E75B6"/>
          <w:sz w:val="26"/>
          <w:szCs w:val="26"/>
        </w:rPr>
        <w:t xml:space="preserve">7.1 Implémentation</w:t>
      </w:r>
    </w:p>
    <w:p>
      <w:pPr>
        <w:spacing w:after="120" w:line="360"/>
        <w:jc w:val="both"/>
      </w:pPr>
      <w:r>
        <w:rPr>
          <w:rFonts w:ascii="Calibri" w:cs="Calibri" w:eastAsia="Calibri" w:hAnsi="Calibri"/>
          <w:sz w:val="22"/>
          <w:szCs w:val="22"/>
        </w:rPr>
        <w:t xml:space="preserve">Odin est implémenté en TypeScript (ECMAScript modules) sous forme de monorepo géré par pnpm. Le code source totalise environ 5 000 lignes réparties sur 7 packages. L’ensemble du projet est open source sous licence 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Métrique</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Langage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TypeScript (ES Modules)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Packages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7 (monorepo pnpm)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Tests automatisés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150 tests (14 fichiers)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Taux de réussite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100% (150/150)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Temps d’exécution des tests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~7 secondes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Framework de test</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Vitest v3.2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Runtime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Node.js 20+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CI/CD</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GitHub Actions (Node 20 + 22)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Conteneurisation</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Docker multi-stage</w:t>
            </w:r>
          </w:p>
        </w:tc>
      </w:tr>
    </w:tbl>
    <w:p>
      <w:pPr>
        <w:pStyle w:val="Heading2"/>
        <w:spacing w:after="150" w:before="300"/>
      </w:pPr>
      <w:r>
        <w:rPr>
          <w:rFonts w:ascii="Calibri" w:cs="Calibri" w:eastAsia="Calibri" w:hAnsi="Calibri"/>
          <w:b/>
          <w:bCs/>
          <w:color w:val="2E75B6"/>
          <w:sz w:val="26"/>
          <w:szCs w:val="26"/>
        </w:rPr>
        <w:t xml:space="preserve">7.2 Couverture des tests</w:t>
      </w:r>
    </w:p>
    <w:p>
      <w:pPr>
        <w:spacing w:after="120" w:line="360"/>
        <w:jc w:val="both"/>
      </w:pPr>
      <w:r>
        <w:rPr>
          <w:rFonts w:ascii="Calibri" w:cs="Calibri" w:eastAsia="Calibri" w:hAnsi="Calibri"/>
          <w:sz w:val="22"/>
          <w:szCs w:val="22"/>
        </w:rPr>
        <w:t xml:space="preserve">La suite de tests couvre les composants critiques de chaque sous-système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700"/>
        <w:gridCol w:w="41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Fichier de test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Package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Tests</w:t>
            </w:r>
          </w:p>
        </w:tc>
        <w:tc>
          <w:tcPr>
            <w:tcW w:type="dxa" w:w="41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Composants testés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features.test.ts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34</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ModelFallbackChain, SmartRouting, ContextCompressor, LoopDetector, SessionManager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memory.test.ts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11</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MemoryStore, MerkleTree, FTS5 search, injection sanitization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ifc.test.ts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@odin/security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8</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IFCEngine: étiquetage, propagation, validation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policy.test.ts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@odin/security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5</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PolicyEngine: deny default, trust score, rate limit, benchmark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did.test.ts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@odin/security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6</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DIDManager: génération, signature, vérification, credentials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sandbox.test.ts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@odin/security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5</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SandboxManager: rings, erreurs, teinte, timeout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circuit-breaker.test.ts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@odin/trust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9</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CircuitBreaker: 5 états, sémantique, métriques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episodic.test.ts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12</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EpisodicStore: entités, arêtes, BFS, épisodes, décroissance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cik.test.ts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18</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CIK: politiques, capacités, identité, connaissance, évolution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reasoning.test.ts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10</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ModelFirstReasoner: monde, observations, plans, contrefactuels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mcts.test.ts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9</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MCTS: planification, statistiques, profondeur, objectifs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causal.test.ts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10</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CausalEngine: SCM, DAG, L1/L2/L3, modèles de défaillance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invariants.test.ts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7</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CIKInvariantVerifier: santé, DID, temporel, invariants custom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evolution.test.ts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@odin/cognition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6</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0"/>
                <w:szCs w:val="20"/>
              </w:rPr>
              <w:t xml:space="preserve">SafetyGate, EvolutionSandbox: blocage, preuves, rollback</w:t>
            </w:r>
          </w:p>
        </w:tc>
      </w:tr>
    </w:tbl>
    <w:p>
      <w:pPr>
        <w:pStyle w:val="Heading2"/>
        <w:spacing w:after="150" w:before="300"/>
      </w:pPr>
      <w:r>
        <w:rPr>
          <w:rFonts w:ascii="Calibri" w:cs="Calibri" w:eastAsia="Calibri" w:hAnsi="Calibri"/>
          <w:b/>
          <w:bCs/>
          <w:color w:val="2E75B6"/>
          <w:sz w:val="26"/>
          <w:szCs w:val="26"/>
        </w:rPr>
        <w:t xml:space="preserve">7.3 Performance du moteur de politiques</w:t>
      </w:r>
    </w:p>
    <w:p>
      <w:pPr>
        <w:spacing w:after="120" w:line="360"/>
        <w:jc w:val="both"/>
      </w:pPr>
      <w:r>
        <w:rPr>
          <w:rFonts w:ascii="Calibri" w:cs="Calibri" w:eastAsia="Calibri" w:hAnsi="Calibri"/>
          <w:sz w:val="22"/>
          <w:szCs w:val="22"/>
        </w:rPr>
        <w:t xml:space="preserve">Le moteur de politiques Cedar atteint une évaluation en temps sub-milliseconde. Un benchmark de 1 000 évaluations consécutives avec contexte complet (DID, action, ressource, score de confiance, anneau, étiquette de teinte) produit un temps moyen inférieur à 1 ms par évaluation, validé par le test policy.test.ts.</w:t>
      </w:r>
    </w:p>
    <w:p>
      <w:pPr>
        <w:pStyle w:val="Heading2"/>
        <w:spacing w:after="150" w:before="300"/>
      </w:pPr>
      <w:r>
        <w:rPr>
          <w:rFonts w:ascii="Calibri" w:cs="Calibri" w:eastAsia="Calibri" w:hAnsi="Calibri"/>
          <w:b/>
          <w:bCs/>
          <w:color w:val="2E75B6"/>
          <w:sz w:val="26"/>
          <w:szCs w:val="26"/>
        </w:rPr>
        <w:t xml:space="preserve">7.4 Conformité réglementaire</w:t>
      </w:r>
    </w:p>
    <w:p>
      <w:pPr>
        <w:spacing w:after="120" w:line="360"/>
        <w:jc w:val="both"/>
      </w:pPr>
      <w:r>
        <w:rPr>
          <w:rFonts w:ascii="Calibri" w:cs="Calibri" w:eastAsia="Calibri" w:hAnsi="Calibri"/>
          <w:sz w:val="22"/>
          <w:szCs w:val="22"/>
        </w:rPr>
        <w:t xml:space="preserve">Odin intègre un framework de conformité couvrant quatre standards majeurs : EU AI Act</w:t>
      </w:r>
      <w:r>
        <w:rPr>
          <w:rFonts w:ascii="Calibri" w:cs="Calibri" w:eastAsia="Calibri" w:hAnsi="Calibri"/>
          <w:sz w:val="22"/>
          <w:szCs w:val="22"/>
        </w:rPr>
        <w:r>
          <w:rPr>
            <w:rStyle w:val="FootnoteReference"/>
          </w:rPr>
          <w:footnoteReference w:id="7"/>
        </w:r>
      </w:r>
      <w:r>
        <w:rPr>
          <w:rFonts w:ascii="Calibri" w:cs="Calibri" w:eastAsia="Calibri" w:hAnsi="Calibri"/>
          <w:sz w:val="22"/>
          <w:szCs w:val="22"/>
        </w:rPr>
        <w:t xml:space="preserve"> (transparence, supervision humaine), OWASP ASI</w:t>
      </w:r>
      <w:r>
        <w:rPr>
          <w:rFonts w:ascii="Calibri" w:cs="Calibri" w:eastAsia="Calibri" w:hAnsi="Calibri"/>
          <w:sz w:val="22"/>
          <w:szCs w:val="22"/>
        </w:rPr>
        <w:r>
          <w:rPr>
            <w:rStyle w:val="FootnoteReference"/>
          </w:rPr>
          <w:footnoteReference w:id="6"/>
        </w:r>
      </w:r>
      <w:r>
        <w:rPr>
          <w:rFonts w:ascii="Calibri" w:cs="Calibri" w:eastAsia="Calibri" w:hAnsi="Calibri"/>
          <w:sz w:val="22"/>
          <w:szCs w:val="22"/>
        </w:rPr>
        <w:t xml:space="preserve"> (10 risques pour les agents IA), Singapore Model Governance Framework et SLSA (niveaux 0-4 pour la chaîne d’approvisionnement logicielle).</w:t>
      </w:r>
    </w:p>
    <w:p>
      <w:r>
        <w:br w:type="page"/>
      </w:r>
    </w:p>
    <w:p>
      <w:pPr>
        <w:pStyle w:val="Heading1"/>
        <w:spacing w:after="200" w:before="400"/>
      </w:pPr>
      <w:r>
        <w:rPr>
          <w:rFonts w:ascii="Calibri" w:cs="Calibri" w:eastAsia="Calibri" w:hAnsi="Calibri"/>
          <w:b/>
          <w:bCs/>
          <w:color w:val="1F4E79"/>
          <w:sz w:val="32"/>
          <w:szCs w:val="32"/>
        </w:rPr>
        <w:t xml:space="preserve">8. Conclusion et perspectives</w:t>
      </w:r>
    </w:p>
    <w:p>
      <w:pPr>
        <w:pStyle w:val="Heading2"/>
        <w:spacing w:after="150" w:before="300"/>
      </w:pPr>
      <w:r>
        <w:rPr>
          <w:rFonts w:ascii="Calibri" w:cs="Calibri" w:eastAsia="Calibri" w:hAnsi="Calibri"/>
          <w:b/>
          <w:bCs/>
          <w:color w:val="2E75B6"/>
          <w:sz w:val="26"/>
          <w:szCs w:val="26"/>
        </w:rPr>
        <w:t xml:space="preserve">8.1 Synthèse</w:t>
      </w:r>
    </w:p>
    <w:p>
      <w:pPr>
        <w:spacing w:after="120" w:line="360"/>
        <w:jc w:val="both"/>
      </w:pPr>
      <w:r>
        <w:rPr>
          <w:rFonts w:ascii="Calibri" w:cs="Calibri" w:eastAsia="Calibri" w:hAnsi="Calibri"/>
          <w:sz w:val="22"/>
          <w:szCs w:val="22"/>
        </w:rPr>
        <w:t xml:space="preserve">Ce mémoire a présenté Odin, une architecture Zero Trust pour agents IA qui apporte des contributions significatives dans trois domaines : la sécurité par conception (IFC, sandbox, politique Cedar, DID), l’intelligence cognitive en trois phases (mémoire épisodique, raisonnement causal, planification MCTS), et la communication inter-agents sécurisée (protocole A2A avec vérification cryptographique).</w:t>
      </w:r>
    </w:p>
    <w:p>
      <w:pPr>
        <w:spacing w:after="120" w:line="360"/>
        <w:jc w:val="both"/>
      </w:pPr>
      <w:r>
        <w:rPr>
          <w:rFonts w:ascii="Calibri" w:cs="Calibri" w:eastAsia="Calibri" w:hAnsi="Calibri"/>
          <w:sz w:val="22"/>
          <w:szCs w:val="22"/>
        </w:rPr>
        <w:t xml:space="preserve">L’implémentation complète, validée par 150 tests automatisés avec un taux de réussite de 100%, démontre la faisabilité d’une architecture Zero Trust pour les agents IA sans compromis sur les capacités cognitives.</w:t>
      </w:r>
    </w:p>
    <w:p>
      <w:pPr>
        <w:pStyle w:val="Heading2"/>
        <w:spacing w:after="150" w:before="300"/>
      </w:pPr>
      <w:r>
        <w:rPr>
          <w:rFonts w:ascii="Calibri" w:cs="Calibri" w:eastAsia="Calibri" w:hAnsi="Calibri"/>
          <w:b/>
          <w:bCs/>
          <w:color w:val="2E75B6"/>
          <w:sz w:val="26"/>
          <w:szCs w:val="26"/>
        </w:rPr>
        <w:t xml:space="preserve">8.2 Perspectives</w:t>
      </w:r>
    </w:p>
    <w:p>
      <w:pPr>
        <w:spacing w:after="120" w:line="360"/>
        <w:jc w:val="both"/>
      </w:pPr>
      <w:r>
        <w:rPr>
          <w:rFonts w:ascii="Calibri" w:cs="Calibri" w:eastAsia="Calibri" w:hAnsi="Calibri"/>
          <w:sz w:val="22"/>
          <w:szCs w:val="22"/>
        </w:rPr>
        <w:t xml:space="preserve">Plusieurs directions de recherche s’ouvrent :</w:t>
      </w:r>
    </w:p>
    <w:p>
      <w:pPr>
        <w:pStyle w:val="ListParagraph"/>
        <w:numPr>
          <w:ilvl w:val="0"/>
          <w:numId w:val="7"/>
        </w:numPr>
        <w:spacing w:after="80" w:line="340"/>
      </w:pPr>
      <w:r>
        <w:rPr>
          <w:rFonts w:ascii="Calibri" w:cs="Calibri" w:eastAsia="Calibri" w:hAnsi="Calibri"/>
          <w:sz w:val="22"/>
          <w:szCs w:val="22"/>
        </w:rPr>
        <w:t xml:space="preserve">Connecteurs gateway : implémentation complète des gateways Slack et WhatsApp, et intégration avec des écosystèmes d’agents existants.</w:t>
      </w:r>
    </w:p>
    <w:p>
      <w:pPr>
        <w:pStyle w:val="ListParagraph"/>
        <w:numPr>
          <w:ilvl w:val="0"/>
          <w:numId w:val="7"/>
        </w:numPr>
        <w:spacing w:after="80" w:line="340"/>
      </w:pPr>
      <w:r>
        <w:rPr>
          <w:rFonts w:ascii="Calibri" w:cs="Calibri" w:eastAsia="Calibri" w:hAnsi="Calibri"/>
          <w:sz w:val="22"/>
          <w:szCs w:val="22"/>
        </w:rPr>
        <w:t xml:space="preserve">Client MCP : intégration complète du protocole Model Context Protocol pour l’accès à des outils externes.</w:t>
      </w:r>
    </w:p>
    <w:p>
      <w:pPr>
        <w:pStyle w:val="ListParagraph"/>
        <w:numPr>
          <w:ilvl w:val="0"/>
          <w:numId w:val="7"/>
        </w:numPr>
        <w:spacing w:after="80" w:line="340"/>
      </w:pPr>
      <w:r>
        <w:rPr>
          <w:rFonts w:ascii="Calibri" w:cs="Calibri" w:eastAsia="Calibri" w:hAnsi="Calibri"/>
          <w:sz w:val="22"/>
          <w:szCs w:val="22"/>
        </w:rPr>
        <w:t xml:space="preserve">Validation formelle : preuve formelle des propriétés de sécurité du CIK via TLA+ Toolbox ou Alloy.</w:t>
      </w:r>
    </w:p>
    <w:p>
      <w:pPr>
        <w:pStyle w:val="ListParagraph"/>
        <w:numPr>
          <w:ilvl w:val="0"/>
          <w:numId w:val="7"/>
        </w:numPr>
        <w:spacing w:after="80" w:line="340"/>
      </w:pPr>
      <w:r>
        <w:rPr>
          <w:rFonts w:ascii="Calibri" w:cs="Calibri" w:eastAsia="Calibri" w:hAnsi="Calibri"/>
          <w:sz w:val="22"/>
          <w:szCs w:val="22"/>
        </w:rPr>
        <w:t xml:space="preserve">Évaluation adversariale : benchmark systématique avec AgentDojo et d’autres frameworks d’attaque pour les agents IA.</w:t>
      </w:r>
    </w:p>
    <w:p>
      <w:pPr>
        <w:pStyle w:val="ListParagraph"/>
        <w:numPr>
          <w:ilvl w:val="0"/>
          <w:numId w:val="7"/>
        </w:numPr>
        <w:spacing w:after="80" w:line="340"/>
      </w:pPr>
      <w:r>
        <w:rPr>
          <w:rFonts w:ascii="Calibri" w:cs="Calibri" w:eastAsia="Calibri" w:hAnsi="Calibri"/>
          <w:sz w:val="22"/>
          <w:szCs w:val="22"/>
        </w:rPr>
        <w:t xml:space="preserve">Réseau de confiance distribué : déploiement multi-agents avec le protocole A2A en conditions réelles pour mesurer la résilience du Trust Mesh.</w:t>
      </w:r>
    </w:p>
    <w:p>
      <w:pPr>
        <w:pStyle w:val="ListParagraph"/>
        <w:numPr>
          <w:ilvl w:val="0"/>
          <w:numId w:val="7"/>
        </w:numPr>
        <w:spacing w:after="80" w:line="340"/>
      </w:pPr>
      <w:r>
        <w:rPr>
          <w:rFonts w:ascii="Calibri" w:cs="Calibri" w:eastAsia="Calibri" w:hAnsi="Calibri"/>
          <w:sz w:val="22"/>
          <w:szCs w:val="22"/>
        </w:rPr>
        <w:t xml:space="preserve">Apprentissage causal en ligne : amélioration du moteur SCM pour supporter l’apprentissage continu des équations causales à partir des observations.</w:t>
      </w:r>
    </w:p>
    <w:p>
      <w:r>
        <w:br w:type="page"/>
      </w:r>
    </w:p>
    <w:p>
      <w:pPr>
        <w:pStyle w:val="Heading1"/>
        <w:spacing w:after="200" w:before="400"/>
      </w:pPr>
      <w:r>
        <w:rPr>
          <w:rFonts w:ascii="Calibri" w:cs="Calibri" w:eastAsia="Calibri" w:hAnsi="Calibri"/>
          <w:b/>
          <w:bCs/>
          <w:color w:val="1F4E79"/>
          <w:sz w:val="32"/>
          <w:szCs w:val="32"/>
        </w:rPr>
        <w:t xml:space="preserve">Références</w:t>
      </w:r>
    </w:p>
    <w:p>
      <w:pPr>
        <w:spacing w:after="120" w:line="360"/>
        <w:jc w:val="both"/>
      </w:pPr>
      <w:r>
        <w:rPr>
          <w:rFonts w:ascii="Calibri" w:cs="Calibri" w:eastAsia="Calibri" w:hAnsi="Calibri"/>
          <w:sz w:val="22"/>
          <w:szCs w:val="22"/>
        </w:rPr>
        <w:t xml:space="preserve">[1] Pearl, J. (2009). Causality: Models, Reasoning, and Inference. 2nd Edition. Cambridge University Press.</w:t>
      </w:r>
    </w:p>
    <w:p>
      <w:pPr>
        <w:spacing w:after="120" w:line="360"/>
        <w:jc w:val="both"/>
      </w:pPr>
      <w:r>
        <w:rPr>
          <w:rFonts w:ascii="Calibri" w:cs="Calibri" w:eastAsia="Calibri" w:hAnsi="Calibri"/>
          <w:sz w:val="22"/>
          <w:szCs w:val="22"/>
        </w:rPr>
        <w:t xml:space="preserve">[2] Debenedetti, E. et al. (2024). AgentDojo: A Dynamic Environment to Evaluate Attacks and Defenses for LLM Agents. NeurIPS 2024.</w:t>
      </w:r>
    </w:p>
    <w:p>
      <w:pPr>
        <w:spacing w:after="120" w:line="360"/>
        <w:jc w:val="both"/>
      </w:pPr>
      <w:r>
        <w:rPr>
          <w:rFonts w:ascii="Calibri" w:cs="Calibri" w:eastAsia="Calibri" w:hAnsi="Calibri"/>
          <w:sz w:val="22"/>
          <w:szCs w:val="22"/>
        </w:rPr>
        <w:t xml:space="preserve">[3] Microsoft Research. (2024). CaMeL: CApabilities for Machine Learning — a dual-LLM security architecture for AI agents.</w:t>
      </w:r>
    </w:p>
    <w:p>
      <w:pPr>
        <w:spacing w:after="120" w:line="360"/>
        <w:jc w:val="both"/>
      </w:pPr>
      <w:r>
        <w:rPr>
          <w:rFonts w:ascii="Calibri" w:cs="Calibri" w:eastAsia="Calibri" w:hAnsi="Calibri"/>
          <w:sz w:val="22"/>
          <w:szCs w:val="22"/>
        </w:rPr>
        <w:t xml:space="preserve">[4] Kocsis, L. &amp; Szepesvári, C. (2006). Bandit based Monte-Carlo Planning. ECML 2006, pp. 282-293.</w:t>
      </w:r>
    </w:p>
    <w:p>
      <w:pPr>
        <w:spacing w:after="120" w:line="360"/>
        <w:jc w:val="both"/>
      </w:pPr>
      <w:r>
        <w:rPr>
          <w:rFonts w:ascii="Calibri" w:cs="Calibri" w:eastAsia="Calibri" w:hAnsi="Calibri"/>
          <w:sz w:val="22"/>
          <w:szCs w:val="22"/>
        </w:rPr>
        <w:t xml:space="preserve">[5] W3C. (2022). Decentralized Identifiers (DIDs) v1.0. W3C Recommendation.</w:t>
      </w:r>
    </w:p>
    <w:p>
      <w:pPr>
        <w:spacing w:after="120" w:line="360"/>
        <w:jc w:val="both"/>
      </w:pPr>
      <w:r>
        <w:rPr>
          <w:rFonts w:ascii="Calibri" w:cs="Calibri" w:eastAsia="Calibri" w:hAnsi="Calibri"/>
          <w:sz w:val="22"/>
          <w:szCs w:val="22"/>
        </w:rPr>
        <w:t xml:space="preserve">[6] OWASP. (2025). OWASP Agentic Security Initiative (ASI) — Top 10 Risks for AI Agents.</w:t>
      </w:r>
    </w:p>
    <w:p>
      <w:pPr>
        <w:spacing w:after="120" w:line="360"/>
        <w:jc w:val="both"/>
      </w:pPr>
      <w:r>
        <w:rPr>
          <w:rFonts w:ascii="Calibri" w:cs="Calibri" w:eastAsia="Calibri" w:hAnsi="Calibri"/>
          <w:sz w:val="22"/>
          <w:szCs w:val="22"/>
        </w:rPr>
        <w:t xml:space="preserve">[7] European Parliament. (2024). Regulation (EU) 2024/1689 — The EU AI Act.</w:t>
      </w:r>
    </w:p>
    <w:p>
      <w:pPr>
        <w:spacing w:after="120" w:line="360"/>
        <w:jc w:val="both"/>
      </w:pPr>
      <w:r>
        <w:rPr>
          <w:rFonts w:ascii="Calibri" w:cs="Calibri" w:eastAsia="Calibri" w:hAnsi="Calibri"/>
          <w:sz w:val="22"/>
          <w:szCs w:val="22"/>
        </w:rPr>
        <w:t xml:space="preserve">[8] Lamport, L. (2002). Specifying Systems: The TLA+ Language and Tools for Hardware and Software Engineers. Addison-Wesley.</w:t>
      </w:r>
    </w:p>
    <w:p>
      <w:pPr>
        <w:spacing w:after="120" w:line="360"/>
        <w:jc w:val="both"/>
      </w:pPr>
      <w:r>
        <w:rPr>
          <w:rFonts w:ascii="Calibri" w:cs="Calibri" w:eastAsia="Calibri" w:hAnsi="Calibri"/>
          <w:sz w:val="22"/>
          <w:szCs w:val="22"/>
        </w:rPr>
        <w:t xml:space="preserve">[9] Bernstein, D.J. et al. (2012). High-speed high-security signatures. Journal of Cryptographic Engineering, 2(2), pp. 77-89. (Ed25519)</w:t>
      </w:r>
    </w:p>
    <w:p>
      <w:pPr>
        <w:spacing w:after="120" w:line="360"/>
        <w:jc w:val="both"/>
      </w:pPr>
      <w:r>
        <w:rPr>
          <w:rFonts w:ascii="Calibri" w:cs="Calibri" w:eastAsia="Calibri" w:hAnsi="Calibri"/>
          <w:sz w:val="22"/>
          <w:szCs w:val="22"/>
        </w:rPr>
        <w:t xml:space="preserve">[10] Google. (2025). Agent2Agent (A2A) Protocol Specification. Open protocol for agent interoperability.</w:t>
      </w:r>
    </w:p>
    <w:p>
      <w:pPr>
        <w:spacing w:after="120" w:line="360"/>
        <w:jc w:val="both"/>
      </w:pPr>
      <w:r>
        <w:rPr>
          <w:rFonts w:ascii="Calibri" w:cs="Calibri" w:eastAsia="Calibri" w:hAnsi="Calibri"/>
          <w:sz w:val="22"/>
          <w:szCs w:val="22"/>
        </w:rPr>
        <w:t xml:space="preserve">[11] Amazon Web Services. (2024). Cedar Policy Language — Authorization policy language and engine.</w:t>
      </w:r>
    </w:p>
    <w:p>
      <w:pPr>
        <w:spacing w:after="120" w:line="360"/>
        <w:jc w:val="both"/>
      </w:pPr>
      <w:r>
        <w:rPr>
          <w:rFonts w:ascii="Calibri" w:cs="Calibri" w:eastAsia="Calibri" w:hAnsi="Calibri"/>
          <w:sz w:val="22"/>
          <w:szCs w:val="22"/>
        </w:rPr>
        <w:t xml:space="preserve">[12] SLSA. (2024). Supply-chain Levels for Software Artifacts — Framework for software supply chain security.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Pearl, J. (2009). Causality: Models, Reasoning, and Inference. Cambridge University Press.</w:t>
      </w:r>
    </w:p>
  </w:footnote>
  <w:footnote w:id="2">
    <w:p>
      <w:r>
        <w:rPr>
          <w:rStyle w:val="FootnoteReference"/>
        </w:rPr>
        <w:footnoteRef/>
      </w:r>
      <w:r>
        <w:rPr>
          <w:rFonts w:ascii="Calibri" w:cs="Calibri" w:eastAsia="Calibri" w:hAnsi="Calibri"/>
          <w:sz w:val="18"/>
          <w:szCs w:val="18"/>
        </w:rPr>
        <w:t xml:space="preserve">Debenedetti, E. et al. (2024). AgentDojo: A Dynamic Environment to Evaluate Attacks and Defenses for LLM Agents. NeurIPS 2024.</w:t>
      </w:r>
    </w:p>
  </w:footnote>
  <w:footnote w:id="3">
    <w:p>
      <w:r>
        <w:rPr>
          <w:rStyle w:val="FootnoteReference"/>
        </w:rPr>
        <w:footnoteRef/>
      </w:r>
      <w:r>
        <w:rPr>
          <w:rFonts w:ascii="Calibri" w:cs="Calibri" w:eastAsia="Calibri" w:hAnsi="Calibri"/>
          <w:sz w:val="18"/>
          <w:szCs w:val="18"/>
        </w:rPr>
        <w:t xml:space="preserve">Microsoft Research. (2024). CaMeL: CApabilities for Machine Learning — a dual-LLM security architecture for AI agents.</w:t>
      </w:r>
    </w:p>
  </w:footnote>
  <w:footnote w:id="4">
    <w:p>
      <w:r>
        <w:rPr>
          <w:rStyle w:val="FootnoteReference"/>
        </w:rPr>
        <w:footnoteRef/>
      </w:r>
      <w:r>
        <w:rPr>
          <w:rFonts w:ascii="Calibri" w:cs="Calibri" w:eastAsia="Calibri" w:hAnsi="Calibri"/>
          <w:sz w:val="18"/>
          <w:szCs w:val="18"/>
        </w:rPr>
        <w:t xml:space="preserve">Kocsis, L. &amp; Szepesvári, C. (2006). Bandit based Monte-Carlo Planning. ECML 2006.</w:t>
      </w:r>
    </w:p>
  </w:footnote>
  <w:footnote w:id="5">
    <w:p>
      <w:r>
        <w:rPr>
          <w:rStyle w:val="FootnoteReference"/>
        </w:rPr>
        <w:footnoteRef/>
      </w:r>
      <w:r>
        <w:rPr>
          <w:rFonts w:ascii="Calibri" w:cs="Calibri" w:eastAsia="Calibri" w:hAnsi="Calibri"/>
          <w:sz w:val="18"/>
          <w:szCs w:val="18"/>
        </w:rPr>
        <w:t xml:space="preserve">W3C. (2022). Decentralized Identifiers (DIDs) v1.0. W3C Recommendation.</w:t>
      </w:r>
    </w:p>
  </w:footnote>
  <w:footnote w:id="6">
    <w:p>
      <w:r>
        <w:rPr>
          <w:rStyle w:val="FootnoteReference"/>
        </w:rPr>
        <w:footnoteRef/>
      </w:r>
      <w:r>
        <w:rPr>
          <w:rFonts w:ascii="Calibri" w:cs="Calibri" w:eastAsia="Calibri" w:hAnsi="Calibri"/>
          <w:sz w:val="18"/>
          <w:szCs w:val="18"/>
        </w:rPr>
        <w:t xml:space="preserve">OWASP. (2025). OWASP Agentic Security Initiative (ASI) — Top 10 Risks for AI Agents.</w:t>
      </w:r>
    </w:p>
  </w:footnote>
  <w:footnote w:id="7">
    <w:p>
      <w:r>
        <w:rPr>
          <w:rStyle w:val="FootnoteReference"/>
        </w:rPr>
        <w:footnoteRef/>
      </w:r>
      <w:r>
        <w:rPr>
          <w:rFonts w:ascii="Calibri" w:cs="Calibri" w:eastAsia="Calibri" w:hAnsi="Calibri"/>
          <w:sz w:val="18"/>
          <w:szCs w:val="18"/>
        </w:rPr>
        <w:t xml:space="preserve">European Parliament. (2024). Regulation (EU) 2024/1689 — The EU AI Act.</w:t>
      </w:r>
    </w:p>
  </w:footnote>
  <w:footnote w:id="8">
    <w:p>
      <w:r>
        <w:rPr>
          <w:rStyle w:val="FootnoteReference"/>
        </w:rPr>
        <w:footnoteRef/>
      </w:r>
      <w:r>
        <w:rPr>
          <w:rFonts w:ascii="Calibri" w:cs="Calibri" w:eastAsia="Calibri" w:hAnsi="Calibri"/>
          <w:sz w:val="18"/>
          <w:szCs w:val="18"/>
        </w:rPr>
        <w:t xml:space="preserve">Lamport, L. (2002). Specifying Systems: The TLA+ Language and Tools for Hardware and Software Engineers. Addison-Wesley.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A4A4A"/>
        <w:sz w:val="18"/>
        <w:szCs w:val="18"/>
      </w:rPr>
      <w:t xml:space="preserve">Odin — Zero Trust AI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2026-04-13T20:52:07.157Z</dcterms:created>
  <dcterms:modified xsi:type="dcterms:W3CDTF">2026-04-13T20:52:07.159Z</dcterms:modified>
</cp:coreProperties>
</file>

<file path=docProps/custom.xml><?xml version="1.0" encoding="utf-8"?>
<Properties xmlns="http://schemas.openxmlformats.org/officeDocument/2006/custom-properties" xmlns:vt="http://schemas.openxmlformats.org/officeDocument/2006/docPropsVTypes"/>
</file>