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60" w:before="60"/>
      </w:pPr>
      <w:r>
        <w:t xml:space="preserve"/>
      </w:r>
    </w:p>
    <w:p>
      <w:pPr>
        <w:spacing w:after="60" w:before="60"/>
      </w:pPr>
      <w:r>
        <w:t xml:space="preserve"/>
      </w:r>
    </w:p>
    <w:p>
      <w:pPr>
        <w:spacing w:after="60" w:before="60"/>
      </w:pPr>
      <w:r>
        <w:t xml:space="preserve"/>
      </w:r>
    </w:p>
    <w:p>
      <w:pPr>
        <w:spacing w:after="120" w:before="0"/>
        <w:jc w:val="center"/>
      </w:pPr>
      <w:r>
        <w:rPr>
          <w:rFonts w:ascii="Arial" w:cs="Arial" w:eastAsia="Arial" w:hAnsi="Arial"/>
          <w:b/>
          <w:bCs/>
          <w:color w:val="0A2540"/>
          <w:sz w:val="64"/>
          <w:szCs w:val="64"/>
        </w:rPr>
        <w:t xml:space="preserve">PROJET ODIN</w:t>
      </w:r>
    </w:p>
    <w:p>
      <w:pPr>
        <w:spacing w:after="80" w:before="0"/>
        <w:jc w:val="center"/>
      </w:pPr>
      <w:r>
        <w:rPr>
          <w:rFonts w:ascii="Arial" w:cs="Arial" w:eastAsia="Arial" w:hAnsi="Arial"/>
          <w:color w:val="0F6E56"/>
          <w:sz w:val="32"/>
          <w:szCs w:val="32"/>
        </w:rPr>
        <w:t xml:space="preserve">by AgentLayers</w:t>
      </w:r>
    </w:p>
    <w:p>
      <w:pPr>
        <w:pBdr>
          <w:bottom w:val="single" w:color="0F6E56" w:sz="12" w:space="12"/>
        </w:pBdr>
        <w:spacing w:after="400" w:before="0"/>
        <w:jc w:val="center"/>
      </w:pPr>
      <w:r>
        <w:t xml:space="preserve"/>
      </w:r>
    </w:p>
    <w:p>
      <w:pPr>
        <w:spacing w:after="60" w:before="60"/>
      </w:pPr>
      <w:r>
        <w:t xml:space="preserve"/>
      </w:r>
    </w:p>
    <w:p>
      <w:pPr>
        <w:spacing w:after="80" w:before="0"/>
        <w:jc w:val="center"/>
      </w:pPr>
      <w:r>
        <w:rPr>
          <w:rFonts w:ascii="Arial" w:cs="Arial" w:eastAsia="Arial" w:hAnsi="Arial"/>
          <w:b/>
          <w:bCs/>
          <w:color w:val="0A2540"/>
          <w:sz w:val="36"/>
          <w:szCs w:val="36"/>
        </w:rPr>
        <w:t xml:space="preserve">Spécification de l'Interface Utilisateur</w:t>
      </w:r>
    </w:p>
    <w:p>
      <w:pPr>
        <w:spacing w:after="80" w:before="0"/>
        <w:jc w:val="center"/>
      </w:pPr>
      <w:r>
        <w:rPr>
          <w:rFonts w:ascii="Arial" w:cs="Arial" w:eastAsia="Arial" w:hAnsi="Arial"/>
          <w:color w:val="5F5E5A"/>
          <w:sz w:val="28"/>
          <w:szCs w:val="28"/>
        </w:rPr>
        <w:t xml:space="preserve">Dashboard de Sécurité — Architecture AEGIS</w:t>
      </w:r>
    </w:p>
    <w:p>
      <w:pPr>
        <w:spacing w:after="60" w:before="60"/>
      </w:pPr>
      <w:r>
        <w:t xml:space="preserve"/>
      </w:r>
    </w:p>
    <w:p>
      <w:pPr>
        <w:spacing w:after="60" w:before="60"/>
      </w:pPr>
      <w:r>
        <w:t xml:space="preserve"/>
      </w: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tblGrid>
      <w:tr>
        <w:tc>
          <w:tcPr>
            <w:tcW w:type="dxa" w:w="27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bCs/>
                <w:color w:val="5F5E5A"/>
                <w:sz w:val="20"/>
                <w:szCs w:val="20"/>
              </w:rPr>
              <w:t xml:space="preserve">Version</w:t>
            </w:r>
          </w:p>
        </w:tc>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1.0 — Avril 2026</w:t>
            </w:r>
          </w:p>
        </w:tc>
      </w:tr>
      <w:tr>
        <w:tc>
          <w:tcPr>
            <w:tcW w:type="dxa" w:w="27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bCs/>
                <w:color w:val="5F5E5A"/>
                <w:sz w:val="20"/>
                <w:szCs w:val="20"/>
              </w:rPr>
              <w:t xml:space="preserve">Contexte</w:t>
            </w:r>
          </w:p>
        </w:tc>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Mémoire M2 Ingénierie IA/Big Data</w:t>
            </w:r>
          </w:p>
        </w:tc>
      </w:tr>
      <w:tr>
        <w:tc>
          <w:tcPr>
            <w:tcW w:type="dxa" w:w="27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bCs/>
                <w:color w:val="5F5E5A"/>
                <w:sz w:val="20"/>
                <w:szCs w:val="20"/>
              </w:rPr>
              <w:t xml:space="preserve">Auteur</w:t>
            </w:r>
          </w:p>
        </w:tc>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AgentLayers Research Team</w:t>
            </w:r>
          </w:p>
        </w:tc>
      </w:tr>
      <w:tr>
        <w:tc>
          <w:tcPr>
            <w:tcW w:type="dxa" w:w="27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bCs/>
                <w:color w:val="5F5E5A"/>
                <w:sz w:val="20"/>
                <w:szCs w:val="20"/>
              </w:rPr>
              <w:t xml:space="preserve">Framework</w:t>
            </w:r>
          </w:p>
        </w:tc>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AEGIS / Odin — LangGraph extension</w:t>
            </w:r>
          </w:p>
        </w:tc>
      </w:tr>
    </w:tbl>
    <w:p>
      <w:pPr>
        <w:spacing w:after="60" w:before="60"/>
      </w:pPr>
      <w:r>
        <w:t xml:space="preserve"/>
      </w:r>
    </w:p>
    <w:p>
      <w:pPr>
        <w:spacing w:after="60" w:before="60"/>
      </w:pPr>
      <w:r>
        <w:t xml:space="preserve"/>
      </w:r>
    </w:p>
    <w:p>
      <w:pPr>
        <w:spacing w:after="60" w:before="60"/>
      </w:pPr>
      <w:r>
        <w:t xml:space="preserve"/>
      </w:r>
    </w:p>
    <w:p>
      <w:pPr>
        <w:jc w:val="center"/>
      </w:pPr>
      <w:r>
        <w:rPr>
          <w:rFonts w:ascii="Arial" w:cs="Arial" w:eastAsia="Arial" w:hAnsi="Arial"/>
          <w:i/>
          <w:iCs/>
          <w:color w:val="0F6E56"/>
          <w:sz w:val="24"/>
          <w:szCs w:val="24"/>
        </w:rPr>
        <w:t xml:space="preserve">Secured by Design. Trusted by Network.</w:t>
      </w:r>
    </w:p>
    <w:p>
      <w:r>
        <w:br w:type="page"/>
      </w:r>
    </w:p>
    <w:p>
      <w:pPr>
        <w:pStyle w:val="Heading1"/>
        <w:pBdr>
          <w:bottom w:val="single" w:color="0A2540" w:sz="6" w:space="6"/>
        </w:pBdr>
        <w:spacing w:after="160" w:before="360"/>
      </w:pPr>
      <w:r>
        <w:rPr>
          <w:rFonts w:ascii="Arial" w:cs="Arial" w:eastAsia="Arial" w:hAnsi="Arial"/>
          <w:b/>
          <w:bCs/>
          <w:color w:val="0A2540"/>
          <w:sz w:val="32"/>
          <w:szCs w:val="32"/>
        </w:rPr>
        <w:t xml:space="preserve">1. Introduction et objectifs du dashboard</w:t>
      </w:r>
    </w:p>
    <w:p>
      <w:pPr>
        <w:spacing w:after="100" w:before="60"/>
      </w:pPr>
      <w:r>
        <w:rPr>
          <w:rFonts w:ascii="Arial" w:cs="Arial" w:eastAsia="Arial" w:hAnsi="Arial"/>
          <w:color w:val="222222"/>
          <w:sz w:val="22"/>
          <w:szCs w:val="22"/>
        </w:rPr>
        <w:t xml:space="preserve">Le dashboard de sécurité Odin est l'interface centrale de supervision et de contrôle d'un agent autonome open source. Il matérialise la distinction fondatrice du Projet Odin : la sécurité est une propriété locale de l'agent (gratuite, embarquée, architecturale) ; la confiance est une propriété du réseau (vérifiable, continue, propulsée par AgentLayers).</w:t>
      </w:r>
    </w:p>
    <w:p>
      <w:pPr>
        <w:spacing w:after="60" w:before="60"/>
      </w:pPr>
      <w:r>
        <w:t xml:space="preserve"/>
      </w:r>
    </w:p>
    <w:p>
      <w:pPr>
        <w:spacing w:after="100" w:before="60"/>
      </w:pPr>
      <w:r>
        <w:rPr>
          <w:rFonts w:ascii="Arial" w:cs="Arial" w:eastAsia="Arial" w:hAnsi="Arial"/>
          <w:color w:val="222222"/>
          <w:sz w:val="22"/>
          <w:szCs w:val="22"/>
        </w:rPr>
        <w:t xml:space="preserve">Le dashboard répond à trois impératifs opérationnels :</w:t>
      </w:r>
    </w:p>
    <w:p>
      <w:pPr>
        <w:pStyle w:val="ListParagraph"/>
        <w:numPr>
          <w:ilvl w:val="0"/>
          <w:numId w:val="2"/>
        </w:numPr>
        <w:spacing w:after="40" w:before="40"/>
      </w:pPr>
      <w:r>
        <w:rPr>
          <w:rFonts w:ascii="Arial" w:cs="Arial" w:eastAsia="Arial" w:hAnsi="Arial"/>
          <w:b w:val="false"/>
          <w:bCs w:val="false"/>
          <w:color w:val="222222"/>
          <w:sz w:val="22"/>
          <w:szCs w:val="22"/>
        </w:rPr>
        <w:t xml:space="preserve">Visibilité instantanée — un opérateur doit comprendre l'état de sécurité global de l'agent en moins de 5 secondes sans formation préalable.</w:t>
      </w:r>
    </w:p>
    <w:p>
      <w:pPr>
        <w:pStyle w:val="ListParagraph"/>
        <w:numPr>
          <w:ilvl w:val="0"/>
          <w:numId w:val="2"/>
        </w:numPr>
        <w:spacing w:after="40" w:before="40"/>
      </w:pPr>
      <w:r>
        <w:rPr>
          <w:rFonts w:ascii="Arial" w:cs="Arial" w:eastAsia="Arial" w:hAnsi="Arial"/>
          <w:b w:val="false"/>
          <w:bCs w:val="false"/>
          <w:color w:val="222222"/>
          <w:sz w:val="22"/>
          <w:szCs w:val="22"/>
        </w:rPr>
        <w:t xml:space="preserve">Traçabilité exhaustive — chaque décision de sécurité (autorisation Cedar, blocage IFC, vérification Merkle, score de confiance) est journalisée et reconstruisible pour audit EU AI Act.</w:t>
      </w:r>
    </w:p>
    <w:p>
      <w:pPr>
        <w:pStyle w:val="ListParagraph"/>
        <w:numPr>
          <w:ilvl w:val="0"/>
          <w:numId w:val="2"/>
        </w:numPr>
        <w:spacing w:after="40" w:before="40"/>
      </w:pPr>
      <w:r>
        <w:rPr>
          <w:rFonts w:ascii="Arial" w:cs="Arial" w:eastAsia="Arial" w:hAnsi="Arial"/>
          <w:b w:val="false"/>
          <w:bCs w:val="false"/>
          <w:color w:val="222222"/>
          <w:sz w:val="22"/>
          <w:szCs w:val="22"/>
        </w:rPr>
        <w:t xml:space="preserve">Actionnabilité — le dashboard ne se limite pas à afficher des métriques ; il offre des points d'entrée directs vers les actions correctives (audit AgentLayers, rapport de conformité, quarantaine d'agent).</w:t>
      </w:r>
    </w:p>
    <w:p>
      <w:pPr>
        <w:spacing w:after="60" w:before="60"/>
      </w:pPr>
      <w:r>
        <w:t xml:space="preserve"/>
      </w:r>
    </w:p>
    <w:p>
      <w:pPr>
        <w:spacing w:after="100" w:before="60"/>
      </w:pPr>
      <w:r>
        <w:rPr>
          <w:rFonts w:ascii="Arial" w:cs="Arial" w:eastAsia="Arial" w:hAnsi="Arial"/>
          <w:color w:val="222222"/>
          <w:sz w:val="22"/>
          <w:szCs w:val="22"/>
        </w:rPr>
        <w:t xml:space="preserve">L'interface est structurée autour des quatre couches de sécurité de l'architecture AEGIS (Agent Enforcement, Governance, Identity, and Security) et de la couche de confiance AgentLayers, reflétant fidèlement l'architecture technique documentée dans le mémoire de recherche.</w:t>
      </w:r>
    </w:p>
    <w:p>
      <w:pPr>
        <w:spacing w:after="60" w:before="60"/>
      </w:pPr>
      <w:r>
        <w:t xml:space="preserve"/>
      </w:r>
    </w:p>
    <w:p>
      <w:pPr>
        <w:pStyle w:val="Heading2"/>
        <w:spacing w:after="120" w:before="280"/>
      </w:pPr>
      <w:r>
        <w:rPr>
          <w:rFonts w:ascii="Arial" w:cs="Arial" w:eastAsia="Arial" w:hAnsi="Arial"/>
          <w:b/>
          <w:bCs/>
          <w:color w:val="0F6E56"/>
          <w:sz w:val="26"/>
          <w:szCs w:val="26"/>
        </w:rPr>
        <w:t xml:space="preserve">1.1 Public cible</w:t>
      </w:r>
    </w:p>
    <w:p>
      <w:pPr>
        <w:spacing w:after="100" w:before="60"/>
      </w:pPr>
      <w:r>
        <w:rPr>
          <w:rFonts w:ascii="Arial" w:cs="Arial" w:eastAsia="Arial" w:hAnsi="Arial"/>
          <w:color w:val="222222"/>
          <w:sz w:val="22"/>
          <w:szCs w:val="22"/>
        </w:rPr>
        <w:t xml:space="preserve">Le dashboard s'adresse à trois profils d'utilisateurs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Profil</w:t>
            </w:r>
          </w:p>
        </w:tc>
        <w:tc>
          <w:tcPr>
            <w:tcW w:type="dxa" w:w="320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Rôle principal</w:t>
            </w:r>
          </w:p>
        </w:tc>
        <w:tc>
          <w:tcPr>
            <w:tcW w:type="dxa" w:w="396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Sections les plus utilisées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Opérateur</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Surveille l'état de sécurité en temps réel</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En-tête, métriques clés, Decision Trace, alertes</w:t>
            </w:r>
          </w:p>
        </w:tc>
      </w:tr>
      <w:tr>
        <w:tc>
          <w:tcPr>
            <w:tcW w:type="dxa" w:w="22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Développeur</w:t>
            </w:r>
          </w:p>
        </w:tc>
        <w:tc>
          <w:tcPr>
            <w:tcW w:type="dxa" w:w="32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Installe et audite les skills, configure les politiques</w:t>
            </w:r>
          </w:p>
        </w:tc>
        <w:tc>
          <w:tcPr>
            <w:tcW w:type="dxa" w:w="39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Skills/Tiers, couches AEGIS, MCP Gate, circuit breakers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Compliance Officer</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Vérifie la conformité réglementaire et prépare les audits</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Conformité EU AI Act, rapport exportable, audit log</w:t>
            </w:r>
          </w:p>
        </w:tc>
      </w:tr>
    </w:tbl>
    <w:p>
      <w:r>
        <w:br w:type="page"/>
      </w:r>
    </w:p>
    <w:p>
      <w:pPr>
        <w:pStyle w:val="Heading1"/>
        <w:pBdr>
          <w:bottom w:val="single" w:color="0A2540" w:sz="6" w:space="6"/>
        </w:pBdr>
        <w:spacing w:after="160" w:before="360"/>
      </w:pPr>
      <w:r>
        <w:rPr>
          <w:rFonts w:ascii="Arial" w:cs="Arial" w:eastAsia="Arial" w:hAnsi="Arial"/>
          <w:b/>
          <w:bCs/>
          <w:color w:val="0A2540"/>
          <w:sz w:val="32"/>
          <w:szCs w:val="32"/>
        </w:rPr>
        <w:t xml:space="preserve">2. Structure générale de l'interface</w:t>
      </w:r>
    </w:p>
    <w:p>
      <w:pPr>
        <w:spacing w:after="100" w:before="60"/>
      </w:pPr>
      <w:r>
        <w:rPr>
          <w:rFonts w:ascii="Arial" w:cs="Arial" w:eastAsia="Arial" w:hAnsi="Arial"/>
          <w:color w:val="222222"/>
          <w:sz w:val="22"/>
          <w:szCs w:val="22"/>
        </w:rPr>
        <w:t xml:space="preserve">Le dashboard est organisé en six zones distinctes, empilées verticalement dans une grille responsive. Chaque zone correspond à un sous-système Odin et est indépendamment déployable, reflétant l'architecture composable d'AEGIS.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4480"/>
        <w:gridCol w:w="2000"/>
      </w:tblGrid>
      <w:tr>
        <w:trPr>
          <w:tblHeader/>
        </w:trPr>
        <w:tc>
          <w:tcPr>
            <w:tcW w:type="dxa" w:w="48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240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448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Contenu principal</w:t>
            </w:r>
          </w:p>
        </w:tc>
        <w:tc>
          <w:tcPr>
            <w:tcW w:type="dxa" w:w="200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Priorité UX</w:t>
            </w:r>
          </w:p>
        </w:tc>
      </w:tr>
      <w:tr>
        <w:tc>
          <w:tcPr>
            <w:tcW w:type="dxa" w:w="48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vAlign w:val="center"/>
          </w:tcPr>
          <w:p>
            <w:pPr>
              <w:jc w:val="left"/>
            </w:pPr>
            <w:r>
              <w:rPr>
                <w:rFonts w:ascii="Arial" w:cs="Arial" w:eastAsia="Arial" w:hAnsi="Arial"/>
                <w:b/>
                <w:bCs/>
                <w:color w:val="185FA5"/>
                <w:sz w:val="20"/>
                <w:szCs w:val="20"/>
              </w:rPr>
              <w:t xml:space="preserve">Z1</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En-tête global</w:t>
            </w:r>
          </w:p>
        </w:tc>
        <w:tc>
          <w:tcPr>
            <w:tcW w:type="dxa" w:w="4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DID de l'instance, horodatage UTC, badge de statut SAFE/CAUTION/DEGRADED</w:t>
            </w:r>
          </w:p>
        </w:tc>
        <w:tc>
          <w:tcPr>
            <w:tcW w:type="dxa" w:w="200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vAlign w:val="center"/>
          </w:tcPr>
          <w:p>
            <w:pPr>
              <w:jc w:val="center"/>
            </w:pPr>
            <w:r>
              <w:rPr>
                <w:rFonts w:ascii="Arial" w:cs="Arial" w:eastAsia="Arial" w:hAnsi="Arial"/>
                <w:b/>
                <w:bCs/>
                <w:color w:val="A32D2D"/>
                <w:sz w:val="20"/>
                <w:szCs w:val="20"/>
              </w:rPr>
              <w:t xml:space="preserve">Critique</w:t>
            </w:r>
          </w:p>
        </w:tc>
      </w:tr>
      <w:tr>
        <w:tc>
          <w:tcPr>
            <w:tcW w:type="dxa" w:w="48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vAlign w:val="center"/>
          </w:tcPr>
          <w:p>
            <w:pPr>
              <w:jc w:val="left"/>
            </w:pPr>
            <w:r>
              <w:rPr>
                <w:rFonts w:ascii="Arial" w:cs="Arial" w:eastAsia="Arial" w:hAnsi="Arial"/>
                <w:b/>
                <w:bCs/>
                <w:color w:val="185FA5"/>
                <w:sz w:val="20"/>
                <w:szCs w:val="20"/>
              </w:rPr>
              <w:t xml:space="preserve">Z2</w:t>
            </w:r>
          </w:p>
        </w:tc>
        <w:tc>
          <w:tcPr>
            <w:tcW w:type="dxa" w:w="24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Métriques clés</w:t>
            </w:r>
          </w:p>
        </w:tc>
        <w:tc>
          <w:tcPr>
            <w:tcW w:type="dxa" w:w="448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4 KPIs synthétiques : Trust Score, skills, agents, alertes</w:t>
            </w:r>
          </w:p>
        </w:tc>
        <w:tc>
          <w:tcPr>
            <w:tcW w:type="dxa" w:w="2000"/>
            <w:tcBorders>
              <w:top w:val="single" w:color="CCCCCC" w:sz="4"/>
              <w:left w:val="single" w:color="CCCCCC" w:sz="4"/>
              <w:bottom w:val="single" w:color="CCCCCC" w:sz="4"/>
              <w:right w:val="single" w:color="CCCCCC" w:sz="4"/>
            </w:tcBorders>
            <w:shd w:fill="FCEBEB" w:val="clear"/>
            <w:tcMar>
              <w:top w:type="dxa" w:w="80"/>
              <w:left w:type="dxa" w:w="120"/>
              <w:bottom w:type="dxa" w:w="80"/>
              <w:right w:type="dxa" w:w="120"/>
            </w:tcMar>
            <w:vAlign w:val="center"/>
          </w:tcPr>
          <w:p>
            <w:pPr>
              <w:jc w:val="center"/>
            </w:pPr>
            <w:r>
              <w:rPr>
                <w:rFonts w:ascii="Arial" w:cs="Arial" w:eastAsia="Arial" w:hAnsi="Arial"/>
                <w:b/>
                <w:bCs/>
                <w:color w:val="A32D2D"/>
                <w:sz w:val="20"/>
                <w:szCs w:val="20"/>
              </w:rPr>
              <w:t xml:space="preserve">Critique</w:t>
            </w:r>
          </w:p>
        </w:tc>
      </w:tr>
      <w:tr>
        <w:tc>
          <w:tcPr>
            <w:tcW w:type="dxa" w:w="48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vAlign w:val="center"/>
          </w:tcPr>
          <w:p>
            <w:pPr>
              <w:jc w:val="left"/>
            </w:pPr>
            <w:r>
              <w:rPr>
                <w:rFonts w:ascii="Arial" w:cs="Arial" w:eastAsia="Arial" w:hAnsi="Arial"/>
                <w:b/>
                <w:bCs/>
                <w:color w:val="185FA5"/>
                <w:sz w:val="20"/>
                <w:szCs w:val="20"/>
              </w:rPr>
              <w:t xml:space="preserve">Z3</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Trust Score AgentLayers</w:t>
            </w:r>
          </w:p>
        </w:tc>
        <w:tc>
          <w:tcPr>
            <w:tcW w:type="dxa" w:w="4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Score 6 dimensions + historique 7 jours + graphique donut</w:t>
            </w:r>
          </w:p>
        </w:tc>
        <w:tc>
          <w:tcPr>
            <w:tcW w:type="dxa" w:w="200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vAlign w:val="center"/>
          </w:tcPr>
          <w:p>
            <w:pPr>
              <w:jc w:val="center"/>
            </w:pPr>
            <w:r>
              <w:rPr>
                <w:rFonts w:ascii="Arial" w:cs="Arial" w:eastAsia="Arial" w:hAnsi="Arial"/>
                <w:b/>
                <w:bCs/>
                <w:color w:val="BA7517"/>
                <w:sz w:val="20"/>
                <w:szCs w:val="20"/>
              </w:rPr>
              <w:t xml:space="preserve">Haute</w:t>
            </w:r>
          </w:p>
        </w:tc>
      </w:tr>
      <w:tr>
        <w:tc>
          <w:tcPr>
            <w:tcW w:type="dxa" w:w="48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vAlign w:val="center"/>
          </w:tcPr>
          <w:p>
            <w:pPr>
              <w:jc w:val="left"/>
            </w:pPr>
            <w:r>
              <w:rPr>
                <w:rFonts w:ascii="Arial" w:cs="Arial" w:eastAsia="Arial" w:hAnsi="Arial"/>
                <w:b/>
                <w:bCs/>
                <w:color w:val="185FA5"/>
                <w:sz w:val="20"/>
                <w:szCs w:val="20"/>
              </w:rPr>
              <w:t xml:space="preserve">Z4</w:t>
            </w:r>
          </w:p>
        </w:tc>
        <w:tc>
          <w:tcPr>
            <w:tcW w:type="dxa" w:w="24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Couches AEGIS + Circuit Breakers</w:t>
            </w:r>
          </w:p>
        </w:tc>
        <w:tc>
          <w:tcPr>
            <w:tcW w:type="dxa" w:w="448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4 couches de sécurité + états des circuit breakers (5 états)</w:t>
            </w:r>
          </w:p>
        </w:tc>
        <w:tc>
          <w:tcPr>
            <w:tcW w:type="dxa" w:w="200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vAlign w:val="center"/>
          </w:tcPr>
          <w:p>
            <w:pPr>
              <w:jc w:val="center"/>
            </w:pPr>
            <w:r>
              <w:rPr>
                <w:rFonts w:ascii="Arial" w:cs="Arial" w:eastAsia="Arial" w:hAnsi="Arial"/>
                <w:b/>
                <w:bCs/>
                <w:color w:val="BA7517"/>
                <w:sz w:val="20"/>
                <w:szCs w:val="20"/>
              </w:rPr>
              <w:t xml:space="preserve">Haute</w:t>
            </w:r>
          </w:p>
        </w:tc>
      </w:tr>
      <w:tr>
        <w:tc>
          <w:tcPr>
            <w:tcW w:type="dxa" w:w="48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vAlign w:val="center"/>
          </w:tcPr>
          <w:p>
            <w:pPr>
              <w:jc w:val="left"/>
            </w:pPr>
            <w:r>
              <w:rPr>
                <w:rFonts w:ascii="Arial" w:cs="Arial" w:eastAsia="Arial" w:hAnsi="Arial"/>
                <w:b/>
                <w:bCs/>
                <w:color w:val="185FA5"/>
                <w:sz w:val="20"/>
                <w:szCs w:val="20"/>
              </w:rPr>
              <w:t xml:space="preserve">Z5</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Skills + Agents + MCP</w:t>
            </w:r>
          </w:p>
        </w:tc>
        <w:tc>
          <w:tcPr>
            <w:tcW w:type="dxa" w:w="4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Inventaire des skills par tier, trust scores agents, serveurs MCP</w:t>
            </w:r>
          </w:p>
        </w:tc>
        <w:tc>
          <w:tcPr>
            <w:tcW w:type="dxa" w:w="200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Moyenne</w:t>
            </w:r>
          </w:p>
        </w:tc>
      </w:tr>
      <w:tr>
        <w:tc>
          <w:tcPr>
            <w:tcW w:type="dxa" w:w="48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vAlign w:val="center"/>
          </w:tcPr>
          <w:p>
            <w:pPr>
              <w:jc w:val="left"/>
            </w:pPr>
            <w:r>
              <w:rPr>
                <w:rFonts w:ascii="Arial" w:cs="Arial" w:eastAsia="Arial" w:hAnsi="Arial"/>
                <w:b/>
                <w:bCs/>
                <w:color w:val="185FA5"/>
                <w:sz w:val="20"/>
                <w:szCs w:val="20"/>
              </w:rPr>
              <w:t xml:space="preserve">Z6</w:t>
            </w:r>
          </w:p>
        </w:tc>
        <w:tc>
          <w:tcPr>
            <w:tcW w:type="dxa" w:w="24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Decision Trace + Conformité</w:t>
            </w:r>
          </w:p>
        </w:tc>
        <w:tc>
          <w:tcPr>
            <w:tcW w:type="dxa" w:w="448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Journal de décisions horodaté + couverture réglementaire + performance</w:t>
            </w:r>
          </w:p>
        </w:tc>
        <w:tc>
          <w:tcPr>
            <w:tcW w:type="dxa" w:w="200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Moyenne</w:t>
            </w:r>
          </w:p>
        </w:tc>
      </w:tr>
    </w:tbl>
    <w:p>
      <w:r>
        <w:br w:type="page"/>
      </w:r>
    </w:p>
    <w:p>
      <w:pPr>
        <w:pStyle w:val="Heading1"/>
        <w:pBdr>
          <w:bottom w:val="single" w:color="0A2540" w:sz="6" w:space="6"/>
        </w:pBdr>
        <w:spacing w:after="160" w:before="360"/>
      </w:pPr>
      <w:r>
        <w:rPr>
          <w:rFonts w:ascii="Arial" w:cs="Arial" w:eastAsia="Arial" w:hAnsi="Arial"/>
          <w:b/>
          <w:bCs/>
          <w:color w:val="0A2540"/>
          <w:sz w:val="32"/>
          <w:szCs w:val="32"/>
        </w:rPr>
        <w:t xml:space="preserve">3. Description détaillée des composants</w:t>
      </w:r>
    </w:p>
    <w:p>
      <w:pPr>
        <w:pStyle w:val="Heading2"/>
        <w:spacing w:after="120" w:before="280"/>
      </w:pPr>
      <w:r>
        <w:rPr>
          <w:rFonts w:ascii="Arial" w:cs="Arial" w:eastAsia="Arial" w:hAnsi="Arial"/>
          <w:b/>
          <w:bCs/>
          <w:color w:val="0F6E56"/>
          <w:sz w:val="26"/>
          <w:szCs w:val="26"/>
        </w:rPr>
        <w:t xml:space="preserve">3.1 Zone 1 — En-tête global</w:t>
      </w:r>
    </w:p>
    <w:p>
      <w:pPr>
        <w:spacing w:after="100" w:before="60"/>
      </w:pPr>
      <w:r>
        <w:rPr>
          <w:rFonts w:ascii="Arial" w:cs="Arial" w:eastAsia="Arial" w:hAnsi="Arial"/>
          <w:color w:val="222222"/>
          <w:sz w:val="22"/>
          <w:szCs w:val="22"/>
        </w:rPr>
        <w:t xml:space="preserve">L'en-tête est la première information perçue par l'opérateur. Il contient trois éléments essentiels sur une seule ligne :</w:t>
      </w:r>
    </w:p>
    <w:p>
      <w:pPr>
        <w:pStyle w:val="ListParagraph"/>
        <w:numPr>
          <w:ilvl w:val="0"/>
          <w:numId w:val="2"/>
        </w:numPr>
        <w:spacing w:after="40" w:before="40"/>
      </w:pPr>
      <w:r>
        <w:rPr>
          <w:rFonts w:ascii="Arial" w:cs="Arial" w:eastAsia="Arial" w:hAnsi="Arial"/>
          <w:b w:val="false"/>
          <w:bCs w:val="false"/>
          <w:color w:val="222222"/>
          <w:sz w:val="22"/>
          <w:szCs w:val="22"/>
        </w:rPr>
        <w:t xml:space="preserve">Identité de l'instance — le nom "ODIN by AgentLayers" et le DID complet de l'instance (did:odin:ed25519:&lt;fingerprint&gt;). Le DID est affiché en police monospace pour souligner son caractère technique et cryptographique. Il est généré une seule fois au premier lancement à partir de la paire de clés Ed25519.</w:t>
      </w:r>
    </w:p>
    <w:p>
      <w:pPr>
        <w:pStyle w:val="ListParagraph"/>
        <w:numPr>
          <w:ilvl w:val="0"/>
          <w:numId w:val="2"/>
        </w:numPr>
        <w:spacing w:after="40" w:before="40"/>
      </w:pPr>
      <w:r>
        <w:rPr>
          <w:rFonts w:ascii="Arial" w:cs="Arial" w:eastAsia="Arial" w:hAnsi="Arial"/>
          <w:b w:val="false"/>
          <w:bCs w:val="false"/>
          <w:color w:val="222222"/>
          <w:sz w:val="22"/>
          <w:szCs w:val="22"/>
        </w:rPr>
        <w:t xml:space="preserve">Horodatage UTC — affiché en temps réel pour faciliter la corrélation avec les logs et les audits EU AI Act. Le format UTC est imposé pour éliminer toute ambiguïté de fuseau horaire dans les contextes multi-régions.</w:t>
      </w:r>
    </w:p>
    <w:p>
      <w:pPr>
        <w:pStyle w:val="ListParagraph"/>
        <w:numPr>
          <w:ilvl w:val="0"/>
          <w:numId w:val="2"/>
        </w:numPr>
        <w:spacing w:after="40" w:before="40"/>
      </w:pPr>
      <w:r>
        <w:rPr>
          <w:rFonts w:ascii="Arial" w:cs="Arial" w:eastAsia="Arial" w:hAnsi="Arial"/>
          <w:b w:val="false"/>
          <w:bCs w:val="false"/>
          <w:color w:val="222222"/>
          <w:sz w:val="22"/>
          <w:szCs w:val="22"/>
        </w:rPr>
        <w:t xml:space="preserve">Badge de statut global — trois états possibles : SAFE (vert, score ≥ 75), CAUTION (orange, score 50-74), DEGRADED (rouge, score &lt; 50). Ce badge reflète la réaction automatique d'Odin à son propre Trust Score AgentLayers. Un point coloré animé précède le label pour une reconnaissance immédiate sans lire le texte.</w:t>
      </w:r>
    </w:p>
    <w:p>
      <w:pPr>
        <w:spacing w:after="60" w:before="60"/>
      </w:pPr>
      <w:r>
        <w:t xml:space="preserve"/>
      </w:r>
    </w:p>
    <w:p>
      <w:pPr>
        <w:spacing w:after="100" w:before="60"/>
      </w:pPr>
      <w:r>
        <w:rPr>
          <w:rFonts w:ascii="Arial" w:cs="Arial" w:eastAsia="Arial" w:hAnsi="Arial"/>
          <w:color w:val="222222"/>
          <w:sz w:val="22"/>
          <w:szCs w:val="22"/>
        </w:rPr>
        <w:t xml:space="preserve">Justification de conception : la position en haut à gauche respecte le pattern F de lecture ; le DID visible renforce la traçabilité et permet à l'opérateur de vérifier qu'il supervise bien l'instance correcte.</w:t>
      </w:r>
    </w:p>
    <w:p>
      <w:pPr>
        <w:spacing w:after="60" w:before="60"/>
      </w:pPr>
      <w:r>
        <w:t xml:space="preserve"/>
      </w:r>
    </w:p>
    <w:p>
      <w:pPr>
        <w:pStyle w:val="Heading2"/>
        <w:spacing w:after="120" w:before="280"/>
      </w:pPr>
      <w:r>
        <w:rPr>
          <w:rFonts w:ascii="Arial" w:cs="Arial" w:eastAsia="Arial" w:hAnsi="Arial"/>
          <w:b/>
          <w:bCs/>
          <w:color w:val="0F6E56"/>
          <w:sz w:val="26"/>
          <w:szCs w:val="26"/>
        </w:rPr>
        <w:t xml:space="preserve">3.2 Zone 2 — Métriques clés (4 KPIs)</w:t>
      </w:r>
    </w:p>
    <w:p>
      <w:pPr>
        <w:spacing w:after="100" w:before="60"/>
      </w:pPr>
      <w:r>
        <w:rPr>
          <w:rFonts w:ascii="Arial" w:cs="Arial" w:eastAsia="Arial" w:hAnsi="Arial"/>
          <w:color w:val="222222"/>
          <w:sz w:val="22"/>
          <w:szCs w:val="22"/>
        </w:rPr>
        <w:t xml:space="preserve">Quatre cartes de métriques en grille horizontale (4 colonnes). Chaque carte affiche un label muted en petit, un chiffre principal en police monospace, et une sous-indication contextuelle. Ces chiffres sont les premières questions qu'un opérateur pose en arrivant sur le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2400"/>
        <w:gridCol w:w="2280"/>
      </w:tblGrid>
      <w:tr>
        <w:trPr>
          <w:tblHeader/>
        </w:trPr>
        <w:tc>
          <w:tcPr>
            <w:tcW w:type="dxa" w:w="180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288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Valeur type</w:t>
            </w:r>
          </w:p>
        </w:tc>
        <w:tc>
          <w:tcPr>
            <w:tcW w:type="dxa" w:w="240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Sous-indication</w:t>
            </w:r>
          </w:p>
        </w:tc>
        <w:tc>
          <w:tcPr>
            <w:tcW w:type="dxa" w:w="228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Signification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Trust Score</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82 / 100</w:t>
            </w:r>
          </w:p>
        </w:tc>
        <w:tc>
          <w:tcPr>
            <w:tcW w:type="dxa" w:w="240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vAlign w:val="center"/>
          </w:tcPr>
          <w:p>
            <w:pPr>
              <w:jc w:val="left"/>
            </w:pPr>
            <w:r>
              <w:rPr>
                <w:rFonts w:ascii="Arial" w:cs="Arial" w:eastAsia="Arial" w:hAnsi="Arial"/>
                <w:b w:val="false"/>
                <w:bCs w:val="false"/>
                <w:color w:val="0F6E56"/>
                <w:sz w:val="20"/>
                <w:szCs w:val="20"/>
              </w:rPr>
              <w:t xml:space="preserve">+3 vs hier</w:t>
            </w:r>
          </w:p>
        </w:tc>
        <w:tc>
          <w:tcPr>
            <w:tcW w:type="dxa" w:w="2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Score AgentLayers consolidé — seuil SAFE ≥ 75</w:t>
            </w:r>
          </w:p>
        </w:tc>
      </w:tr>
      <w:tr>
        <w:tc>
          <w:tcPr>
            <w:tcW w:type="dxa" w:w="18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Skills installés</w:t>
            </w:r>
          </w:p>
        </w:tc>
        <w:tc>
          <w:tcPr>
            <w:tcW w:type="dxa" w:w="288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14</w:t>
            </w:r>
          </w:p>
        </w:tc>
        <w:tc>
          <w:tcPr>
            <w:tcW w:type="dxa" w:w="24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12 Tier 1+ · 2 Tier 0</w:t>
            </w:r>
          </w:p>
        </w:tc>
        <w:tc>
          <w:tcPr>
            <w:tcW w:type="dxa" w:w="228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Distribution par niveau de confiance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Agents connectés</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3</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2 certifiés · 1 monitoring</w:t>
            </w:r>
          </w:p>
        </w:tc>
        <w:tc>
          <w:tcPr>
            <w:tcW w:type="dxa" w:w="2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Pairs avec leur niveau de confiance A2A</w:t>
            </w:r>
          </w:p>
        </w:tc>
      </w:tr>
      <w:tr>
        <w:tc>
          <w:tcPr>
            <w:tcW w:type="dxa" w:w="18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Alertes actives</w:t>
            </w:r>
          </w:p>
        </w:tc>
        <w:tc>
          <w:tcPr>
            <w:tcW w:type="dxa" w:w="288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vAlign w:val="center"/>
          </w:tcPr>
          <w:p>
            <w:pPr>
              <w:jc w:val="left"/>
            </w:pPr>
            <w:r>
              <w:rPr>
                <w:rFonts w:ascii="Arial" w:cs="Arial" w:eastAsia="Arial" w:hAnsi="Arial"/>
                <w:b w:val="false"/>
                <w:bCs w:val="false"/>
                <w:color w:val="BA7517"/>
                <w:sz w:val="20"/>
                <w:szCs w:val="20"/>
              </w:rPr>
              <w:t xml:space="preserve">2 (orange si &gt;0)</w:t>
            </w:r>
          </w:p>
        </w:tc>
        <w:tc>
          <w:tcPr>
            <w:tcW w:type="dxa" w:w="24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1 critique · 1 avertissement</w:t>
            </w:r>
          </w:p>
        </w:tc>
        <w:tc>
          <w:tcPr>
            <w:tcW w:type="dxa" w:w="228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Violations Cedar + skills non audités</w:t>
            </w:r>
          </w:p>
        </w:tc>
      </w:tr>
    </w:tbl>
    <w:p>
      <w:pPr>
        <w:spacing w:after="60" w:before="60"/>
      </w:pPr>
      <w:r>
        <w:t xml:space="preserve"/>
      </w:r>
    </w:p>
    <w:p>
      <w:pPr>
        <w:pStyle w:val="Heading2"/>
        <w:spacing w:after="120" w:before="280"/>
      </w:pPr>
      <w:r>
        <w:rPr>
          <w:rFonts w:ascii="Arial" w:cs="Arial" w:eastAsia="Arial" w:hAnsi="Arial"/>
          <w:b/>
          <w:bCs/>
          <w:color w:val="0F6E56"/>
          <w:sz w:val="26"/>
          <w:szCs w:val="26"/>
        </w:rPr>
        <w:t xml:space="preserve">3.3 Zone 3 — Trust Score AgentLayers (6 dimensions)</w:t>
      </w:r>
    </w:p>
    <w:p>
      <w:pPr>
        <w:spacing w:after="100" w:before="60"/>
      </w:pPr>
      <w:r>
        <w:rPr>
          <w:rFonts w:ascii="Arial" w:cs="Arial" w:eastAsia="Arial" w:hAnsi="Arial"/>
          <w:color w:val="222222"/>
          <w:sz w:val="22"/>
          <w:szCs w:val="22"/>
        </w:rPr>
        <w:t xml:space="preserve">Cette zone est le cœur du panneau de gauche dans la grille principale. Elle visualise le score AgentLayers selon la méthodologie officielle v1.0, documentée dans le mémoire de recherche.</w:t>
      </w:r>
    </w:p>
    <w:p>
      <w:pPr>
        <w:spacing w:after="60" w:before="60"/>
      </w:pPr>
      <w:r>
        <w:t xml:space="preserve"/>
      </w:r>
    </w:p>
    <w:p>
      <w:pPr>
        <w:pStyle w:val="Heading3"/>
        <w:spacing w:after="80" w:before="200"/>
      </w:pPr>
      <w:r>
        <w:rPr>
          <w:rFonts w:ascii="Arial" w:cs="Arial" w:eastAsia="Arial" w:hAnsi="Arial"/>
          <w:b/>
          <w:bCs/>
          <w:color w:val="0A2540"/>
          <w:sz w:val="22"/>
          <w:szCs w:val="22"/>
        </w:rPr>
        <w:t xml:space="preserve">3.3.1 Donut de score global</w:t>
      </w:r>
    </w:p>
    <w:p>
      <w:pPr>
        <w:spacing w:after="100" w:before="60"/>
      </w:pPr>
      <w:r>
        <w:rPr>
          <w:rFonts w:ascii="Arial" w:cs="Arial" w:eastAsia="Arial" w:hAnsi="Arial"/>
          <w:color w:val="222222"/>
          <w:sz w:val="22"/>
          <w:szCs w:val="22"/>
        </w:rPr>
        <w:t xml:space="preserve">Un graphique en anneau (Chart.js) affiche le score global sur 100 avec un arc vert pour la valeur et un arc gris pour le déficit. Le chiffre est centré dans l'anneau. En dessous, le badge SAFE/CAUTION/DEGRADED est répété pour faciliter la lecture sans devoir revenir à l'en-tête.</w:t>
      </w:r>
    </w:p>
    <w:p>
      <w:pPr>
        <w:spacing w:after="60" w:before="60"/>
      </w:pPr>
      <w:r>
        <w:t xml:space="preserve"/>
      </w:r>
    </w:p>
    <w:p>
      <w:pPr>
        <w:pStyle w:val="Heading3"/>
        <w:spacing w:after="80" w:before="200"/>
      </w:pPr>
      <w:r>
        <w:rPr>
          <w:rFonts w:ascii="Arial" w:cs="Arial" w:eastAsia="Arial" w:hAnsi="Arial"/>
          <w:b/>
          <w:bCs/>
          <w:color w:val="0A2540"/>
          <w:sz w:val="22"/>
          <w:szCs w:val="22"/>
        </w:rPr>
        <w:t xml:space="preserve">3.3.2 Barres des 6 dimensions</w:t>
      </w:r>
    </w:p>
    <w:p>
      <w:pPr>
        <w:spacing w:after="100" w:before="60"/>
      </w:pPr>
      <w:r>
        <w:rPr>
          <w:rFonts w:ascii="Arial" w:cs="Arial" w:eastAsia="Arial" w:hAnsi="Arial"/>
          <w:color w:val="222222"/>
          <w:sz w:val="22"/>
          <w:szCs w:val="22"/>
        </w:rPr>
        <w:t xml:space="preserve">Chaque dimension est affichée avec : son nom, une barre de progression horizontale colorée (vert si ≥ 75, orange si 50-74, rouge si &lt; 50), et le score numérique en monospace. Les pondérations sont conformes à la méthodologie AgentLayers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200"/>
        <w:gridCol w:w="5400"/>
      </w:tblGrid>
      <w:tr>
        <w:trPr>
          <w:tblHeader/>
        </w:trPr>
        <w:tc>
          <w:tcPr>
            <w:tcW w:type="dxa" w:w="276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120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Poids</w:t>
            </w:r>
          </w:p>
        </w:tc>
        <w:tc>
          <w:tcPr>
            <w:tcW w:type="dxa" w:w="540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Ce qu'Odin mesure</w:t>
            </w:r>
          </w:p>
        </w:tc>
      </w:tr>
      <w:tr>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Performance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20%</w:t>
            </w:r>
          </w:p>
        </w:tc>
        <w:tc>
          <w:tcPr>
            <w:tcW w:type="dxa" w:w="5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Uptime, latence moyenne, taux de succès, consistance des résultats</w:t>
            </w:r>
          </w:p>
        </w:tc>
      </w:tr>
      <w:tr>
        <w:tc>
          <w:tcPr>
            <w:tcW w:type="dxa" w:w="27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Transparence</w:t>
            </w:r>
          </w:p>
        </w:tc>
        <w:tc>
          <w:tcPr>
            <w:tcW w:type="dxa" w:w="12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5F5E5A"/>
                <w:sz w:val="20"/>
                <w:szCs w:val="20"/>
              </w:rPr>
              <w:t xml:space="preserve">20%</w:t>
            </w:r>
          </w:p>
        </w:tc>
        <w:tc>
          <w:tcPr>
            <w:tcW w:type="dxa" w:w="54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Documentation, logs accessibles, explicabilité des décisions</w:t>
            </w:r>
          </w:p>
        </w:tc>
      </w:tr>
      <w:tr>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Sécurité &amp; Privacy</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20%</w:t>
            </w:r>
          </w:p>
        </w:tc>
        <w:tc>
          <w:tcPr>
            <w:tcW w:type="dxa" w:w="5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Résistance aux injections, absence de fuite de données, IFC Engine actif</w:t>
            </w:r>
          </w:p>
        </w:tc>
      </w:tr>
      <w:tr>
        <w:tc>
          <w:tcPr>
            <w:tcW w:type="dxa" w:w="27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Conformité</w:t>
            </w:r>
          </w:p>
        </w:tc>
        <w:tc>
          <w:tcPr>
            <w:tcW w:type="dxa" w:w="12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5F5E5A"/>
                <w:sz w:val="20"/>
                <w:szCs w:val="20"/>
              </w:rPr>
              <w:t xml:space="preserve">15%</w:t>
            </w:r>
          </w:p>
        </w:tc>
        <w:tc>
          <w:tcPr>
            <w:tcW w:type="dxa" w:w="54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EU AI Act Art. 50, GDPR automated checklist, mapping réglementaire</w:t>
            </w:r>
          </w:p>
        </w:tc>
      </w:tr>
      <w:tr>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Réputation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15%</w:t>
            </w:r>
          </w:p>
        </w:tc>
        <w:tc>
          <w:tcPr>
            <w:tcW w:type="dxa" w:w="5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Incidents documentés, CVEs, sentiment communautaire, historique AgentLayers</w:t>
            </w:r>
          </w:p>
        </w:tc>
      </w:tr>
      <w:tr>
        <w:tc>
          <w:tcPr>
            <w:tcW w:type="dxa" w:w="27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Fiabilité comportementale</w:t>
            </w:r>
          </w:p>
        </w:tc>
        <w:tc>
          <w:tcPr>
            <w:tcW w:type="dxa" w:w="12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5F5E5A"/>
                <w:sz w:val="20"/>
                <w:szCs w:val="20"/>
              </w:rPr>
              <w:t xml:space="preserve">10%</w:t>
            </w:r>
          </w:p>
        </w:tc>
        <w:tc>
          <w:tcPr>
            <w:tcW w:type="dxa" w:w="54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Taux d'hallucinations, refus appropriés, détection de drift comportemental</w:t>
            </w:r>
          </w:p>
        </w:tc>
      </w:tr>
    </w:tbl>
    <w:p>
      <w:pPr>
        <w:spacing w:after="60" w:before="60"/>
      </w:pPr>
      <w:r>
        <w:t xml:space="preserve"/>
      </w:r>
    </w:p>
    <w:p>
      <w:pPr>
        <w:pStyle w:val="Heading3"/>
        <w:spacing w:after="80" w:before="200"/>
      </w:pPr>
      <w:r>
        <w:rPr>
          <w:rFonts w:ascii="Arial" w:cs="Arial" w:eastAsia="Arial" w:hAnsi="Arial"/>
          <w:b/>
          <w:bCs/>
          <w:color w:val="0A2540"/>
          <w:sz w:val="22"/>
          <w:szCs w:val="22"/>
        </w:rPr>
        <w:t xml:space="preserve">3.3.3 Graphique d'historique</w:t>
      </w:r>
    </w:p>
    <w:p>
      <w:pPr>
        <w:spacing w:after="100" w:before="60"/>
      </w:pPr>
      <w:r>
        <w:rPr>
          <w:rFonts w:ascii="Arial" w:cs="Arial" w:eastAsia="Arial" w:hAnsi="Arial"/>
          <w:color w:val="222222"/>
          <w:sz w:val="22"/>
          <w:szCs w:val="22"/>
        </w:rPr>
        <w:t xml:space="preserve">Un graphique linéaire (Chart.js) affiche l'évolution du Trust Score sur les 7 derniers jours, permettant à l'opérateur de détecter les tendances et les pics avant qu'ils ne franchissent les seuils CAUTION ou DEGRADED. L'indication "prochaine évaluation dans Xh Ym" aide à anticiper les moments critiques.</w:t>
      </w:r>
    </w:p>
    <w:p>
      <w:pPr>
        <w:spacing w:after="60" w:before="60"/>
      </w:pPr>
      <w:r>
        <w:t xml:space="preserve"/>
      </w:r>
    </w:p>
    <w:p>
      <w:pPr>
        <w:pStyle w:val="Heading2"/>
        <w:spacing w:after="120" w:before="280"/>
      </w:pPr>
      <w:r>
        <w:rPr>
          <w:rFonts w:ascii="Arial" w:cs="Arial" w:eastAsia="Arial" w:hAnsi="Arial"/>
          <w:b/>
          <w:bCs/>
          <w:color w:val="0F6E56"/>
          <w:sz w:val="26"/>
          <w:szCs w:val="26"/>
        </w:rPr>
        <w:t xml:space="preserve">3.4 Zone 4 — Couches de sécurité AEGIS et Circuit Breakers</w:t>
      </w:r>
    </w:p>
    <w:p>
      <w:pPr>
        <w:spacing w:after="100" w:before="60"/>
      </w:pPr>
      <w:r>
        <w:rPr>
          <w:rFonts w:ascii="Arial" w:cs="Arial" w:eastAsia="Arial" w:hAnsi="Arial"/>
          <w:color w:val="222222"/>
          <w:sz w:val="22"/>
          <w:szCs w:val="22"/>
        </w:rPr>
        <w:t xml:space="preserve">Le panneau de droite de la grille principale liste les quatre couches de l'architecture AEGIS avec leur statut opérationnel en temps réel.</w:t>
      </w:r>
    </w:p>
    <w:p>
      <w:pPr>
        <w:spacing w:after="60" w:before="60"/>
      </w:pPr>
      <w:r>
        <w:t xml:space="preserve"/>
      </w:r>
    </w:p>
    <w:p>
      <w:pPr>
        <w:pStyle w:val="Heading3"/>
        <w:spacing w:after="80" w:before="200"/>
      </w:pPr>
      <w:r>
        <w:rPr>
          <w:rFonts w:ascii="Arial" w:cs="Arial" w:eastAsia="Arial" w:hAnsi="Arial"/>
          <w:b/>
          <w:bCs/>
          <w:color w:val="0A2540"/>
          <w:sz w:val="22"/>
          <w:szCs w:val="22"/>
        </w:rPr>
        <w:t xml:space="preserve">3.4.1 Les quatre couches AEGIS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600"/>
        <w:gridCol w:w="1800"/>
        <w:gridCol w:w="1440"/>
      </w:tblGrid>
      <w:tr>
        <w:trPr>
          <w:tblHeader/>
        </w:trPr>
        <w:tc>
          <w:tcPr>
            <w:tcW w:type="dxa" w:w="252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Couche</w:t>
            </w:r>
          </w:p>
        </w:tc>
        <w:tc>
          <w:tcPr>
            <w:tcW w:type="dxa" w:w="360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Description technique</w:t>
            </w:r>
          </w:p>
        </w:tc>
        <w:tc>
          <w:tcPr>
            <w:tcW w:type="dxa" w:w="180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Risques OWASP adressés</w:t>
            </w:r>
          </w:p>
        </w:tc>
        <w:tc>
          <w:tcPr>
            <w:tcW w:type="dxa" w:w="144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Statut</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IFC Engine — taint tracking</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Dual-lattice taint tracking (TRUSTED/UNTRUSTED/DERIVED x PUBLIC/SENSITIVE/SECRET). Compte le nombre d'appels sécurisés dans la journée.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ASI01, ASI05</w:t>
            </w:r>
          </w:p>
        </w:tc>
        <w:tc>
          <w:tcPr>
            <w:tcW w:type="dxa" w:w="144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ACTIF</w:t>
            </w:r>
          </w:p>
        </w:tc>
      </w:tr>
      <w:tr>
        <w:tc>
          <w:tcPr>
            <w:tcW w:type="dxa" w:w="252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Supply Chain — Merkle + Ed25519</w:t>
            </w:r>
          </w:p>
        </w:tc>
        <w:tc>
          <w:tcPr>
            <w:tcW w:type="dxa" w:w="36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Signature Ed25519 + logs de transparence Sigstore. Vérification de la racine Merkle à chaque lecture mémoire. Compteur de falsifications détectées.</w:t>
            </w:r>
          </w:p>
        </w:tc>
        <w:tc>
          <w:tcPr>
            <w:tcW w:type="dxa" w:w="18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5F5E5A"/>
                <w:sz w:val="20"/>
                <w:szCs w:val="20"/>
              </w:rPr>
              <w:t xml:space="preserve">ASI04, ASI06</w:t>
            </w:r>
          </w:p>
        </w:tc>
        <w:tc>
          <w:tcPr>
            <w:tcW w:type="dxa" w:w="144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ACTIF</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Policy Engine — Cedar</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Moteur de politiques Cedar (&lt; 0.1ms p99). Chaque invocation d'outil passe par un Policy Enforcement Point. Affiche les violations bloquées et la latence moyenne.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ASI02, ASI03, ASI09</w:t>
            </w:r>
          </w:p>
        </w:tc>
        <w:tc>
          <w:tcPr>
            <w:tcW w:type="dxa" w:w="144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vAlign w:val="center"/>
          </w:tcPr>
          <w:p>
            <w:pPr>
              <w:jc w:val="center"/>
            </w:pPr>
            <w:r>
              <w:rPr>
                <w:rFonts w:ascii="Arial" w:cs="Arial" w:eastAsia="Arial" w:hAnsi="Arial"/>
                <w:b/>
                <w:bCs/>
                <w:color w:val="BA7517"/>
                <w:sz w:val="20"/>
                <w:szCs w:val="20"/>
              </w:rPr>
              <w:t xml:space="preserve">ALERTE</w:t>
            </w:r>
          </w:p>
        </w:tc>
      </w:tr>
      <w:tr>
        <w:tc>
          <w:tcPr>
            <w:tcW w:type="dxa" w:w="252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Trust Mesh — multi-agents</w:t>
            </w:r>
          </w:p>
        </w:tc>
        <w:tc>
          <w:tcPr>
            <w:tcW w:type="dxa" w:w="36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Protocole IATP-compatible avec handshake cryptographique. Trust scoring 0-1000 avec decay. Affiche le nombre de pairs actifs et l'état des circuit breakers.</w:t>
            </w:r>
          </w:p>
        </w:tc>
        <w:tc>
          <w:tcPr>
            <w:tcW w:type="dxa" w:w="18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5F5E5A"/>
                <w:sz w:val="20"/>
                <w:szCs w:val="20"/>
              </w:rPr>
              <w:t xml:space="preserve">ASI07, ASI08, ASI10</w:t>
            </w:r>
          </w:p>
        </w:tc>
        <w:tc>
          <w:tcPr>
            <w:tcW w:type="dxa" w:w="144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ACTIF</w:t>
            </w:r>
          </w:p>
        </w:tc>
      </w:tr>
    </w:tbl>
    <w:p>
      <w:pPr>
        <w:spacing w:after="60" w:before="60"/>
      </w:pPr>
      <w:r>
        <w:t xml:space="preserve"/>
      </w:r>
    </w:p>
    <w:p>
      <w:pPr>
        <w:pStyle w:val="Heading3"/>
        <w:spacing w:after="80" w:before="200"/>
      </w:pPr>
      <w:r>
        <w:rPr>
          <w:rFonts w:ascii="Arial" w:cs="Arial" w:eastAsia="Arial" w:hAnsi="Arial"/>
          <w:b/>
          <w:bCs/>
          <w:color w:val="0A2540"/>
          <w:sz w:val="22"/>
          <w:szCs w:val="22"/>
        </w:rPr>
        <w:t xml:space="preserve">3.4.2 Circuit Breakers — 5 états</w:t>
      </w:r>
    </w:p>
    <w:p>
      <w:pPr>
        <w:spacing w:after="100" w:before="60"/>
      </w:pPr>
      <w:r>
        <w:rPr>
          <w:rFonts w:ascii="Arial" w:cs="Arial" w:eastAsia="Arial" w:hAnsi="Arial"/>
          <w:color w:val="222222"/>
          <w:sz w:val="22"/>
          <w:szCs w:val="22"/>
        </w:rPr>
        <w:t xml:space="preserve">L'innovation principale d'Odin par rapport aux circuit breakers classiques est l'ajout d'un état DEGRADED, absent de toutes les implémentations existantes. Les 5 états sont affichés sous forme de pastilles horizontales, l'état actif étant mis en évidence visuellement :</w:t>
      </w:r>
    </w:p>
    <w:p>
      <w:pPr>
        <w:pStyle w:val="ListParagraph"/>
        <w:numPr>
          <w:ilvl w:val="0"/>
          <w:numId w:val="2"/>
        </w:numPr>
        <w:spacing w:after="40" w:before="40"/>
      </w:pPr>
      <w:r>
        <w:rPr>
          <w:rFonts w:ascii="Arial" w:cs="Arial" w:eastAsia="Arial" w:hAnsi="Arial"/>
          <w:b w:val="false"/>
          <w:bCs w:val="false"/>
          <w:color w:val="222222"/>
          <w:sz w:val="22"/>
          <w:szCs w:val="22"/>
        </w:rPr>
        <w:t xml:space="preserve">CLOSED — fonctionnement nominal, communication inter-agents normale.</w:t>
      </w:r>
    </w:p>
    <w:p>
      <w:pPr>
        <w:pStyle w:val="ListParagraph"/>
        <w:numPr>
          <w:ilvl w:val="0"/>
          <w:numId w:val="2"/>
        </w:numPr>
        <w:spacing w:after="40" w:before="40"/>
      </w:pPr>
      <w:r>
        <w:rPr>
          <w:rFonts w:ascii="Arial" w:cs="Arial" w:eastAsia="Arial" w:hAnsi="Arial"/>
          <w:b w:val="false"/>
          <w:bCs w:val="false"/>
          <w:color w:val="222222"/>
          <w:sz w:val="22"/>
          <w:szCs w:val="22"/>
        </w:rPr>
        <w:t xml:space="preserve">DEGRADED — état innovant d'Odin : capacités partielles maintenues, communication limitée, logging renforcé. Évite la coupure totale pour les défaillances mineures.</w:t>
      </w:r>
    </w:p>
    <w:p>
      <w:pPr>
        <w:pStyle w:val="ListParagraph"/>
        <w:numPr>
          <w:ilvl w:val="0"/>
          <w:numId w:val="2"/>
        </w:numPr>
        <w:spacing w:after="40" w:before="40"/>
      </w:pPr>
      <w:r>
        <w:rPr>
          <w:rFonts w:ascii="Arial" w:cs="Arial" w:eastAsia="Arial" w:hAnsi="Arial"/>
          <w:b w:val="false"/>
          <w:bCs w:val="false"/>
          <w:color w:val="222222"/>
          <w:sz w:val="22"/>
          <w:szCs w:val="22"/>
        </w:rPr>
        <w:t xml:space="preserve">OPEN — communication coupée, agent isolé. Déclenché par des défaillances répétées ou sémantiques (hallucinations, violations de contraintes).</w:t>
      </w:r>
    </w:p>
    <w:p>
      <w:pPr>
        <w:pStyle w:val="ListParagraph"/>
        <w:numPr>
          <w:ilvl w:val="0"/>
          <w:numId w:val="2"/>
        </w:numPr>
        <w:spacing w:after="40" w:before="40"/>
      </w:pPr>
      <w:r>
        <w:rPr>
          <w:rFonts w:ascii="Arial" w:cs="Arial" w:eastAsia="Arial" w:hAnsi="Arial"/>
          <w:b w:val="false"/>
          <w:bCs w:val="false"/>
          <w:color w:val="222222"/>
          <w:sz w:val="22"/>
          <w:szCs w:val="22"/>
        </w:rPr>
        <w:t xml:space="preserve">HALF-OPEN — tests de sonde pour vérifier la récupération. Le circuit envoie des requêtes limitées pour évaluer si l'agent peut reprendre.</w:t>
      </w:r>
    </w:p>
    <w:p>
      <w:pPr>
        <w:pStyle w:val="ListParagraph"/>
        <w:numPr>
          <w:ilvl w:val="0"/>
          <w:numId w:val="2"/>
        </w:numPr>
        <w:spacing w:after="40" w:before="40"/>
      </w:pPr>
      <w:r>
        <w:rPr>
          <w:rFonts w:ascii="Arial" w:cs="Arial" w:eastAsia="Arial" w:hAnsi="Arial"/>
          <w:b w:val="false"/>
          <w:bCs w:val="false"/>
          <w:color w:val="222222"/>
          <w:sz w:val="22"/>
          <w:szCs w:val="22"/>
        </w:rPr>
        <w:t xml:space="preserve">CLOSED (retour) — rétablissement confirmé après les sondes HALF-OPEN réussies.</w:t>
      </w:r>
    </w:p>
    <w:p>
      <w:pPr>
        <w:spacing w:after="60" w:before="60"/>
      </w:pPr>
      <w:r>
        <w:t xml:space="preserve"/>
      </w:r>
    </w:p>
    <w:p>
      <w:pPr>
        <w:spacing w:after="100" w:before="60"/>
      </w:pPr>
      <w:r>
        <w:rPr>
          <w:rFonts w:ascii="Arial" w:cs="Arial" w:eastAsia="Arial" w:hAnsi="Arial"/>
          <w:color w:val="222222"/>
          <w:sz w:val="22"/>
          <w:szCs w:val="22"/>
        </w:rPr>
        <w:t xml:space="preserve">La détection de défaillances sémantiques (hallucinations avec code HTTP 200) est une capacité unique absente des circuit breakers traditionnels, directement issue des travaux de Bhaumik (Databricks, 2026) cités dans le mémoire.</w:t>
      </w:r>
    </w:p>
    <w:p>
      <w:r>
        <w:br w:type="page"/>
      </w:r>
    </w:p>
    <w:p>
      <w:pPr>
        <w:pStyle w:val="Heading2"/>
        <w:spacing w:after="120" w:before="280"/>
      </w:pPr>
      <w:r>
        <w:rPr>
          <w:rFonts w:ascii="Arial" w:cs="Arial" w:eastAsia="Arial" w:hAnsi="Arial"/>
          <w:b/>
          <w:bCs/>
          <w:color w:val="0F6E56"/>
          <w:sz w:val="26"/>
          <w:szCs w:val="26"/>
        </w:rPr>
        <w:t xml:space="preserve">3.5 Zone 5 — Inventaire des Skills, Agents pairs et Serveurs MCP</w:t>
      </w:r>
    </w:p>
    <w:p>
      <w:pPr>
        <w:pStyle w:val="Heading3"/>
        <w:spacing w:after="80" w:before="200"/>
      </w:pPr>
      <w:r>
        <w:rPr>
          <w:rFonts w:ascii="Arial" w:cs="Arial" w:eastAsia="Arial" w:hAnsi="Arial"/>
          <w:b/>
          <w:bCs/>
          <w:color w:val="0A2540"/>
          <w:sz w:val="22"/>
          <w:szCs w:val="22"/>
        </w:rPr>
        <w:t xml:space="preserve">3.5.1 Skills installés — Trust Tiers</w:t>
      </w:r>
    </w:p>
    <w:p>
      <w:pPr>
        <w:spacing w:after="100" w:before="60"/>
      </w:pPr>
      <w:r>
        <w:rPr>
          <w:rFonts w:ascii="Arial" w:cs="Arial" w:eastAsia="Arial" w:hAnsi="Arial"/>
          <w:color w:val="222222"/>
          <w:sz w:val="22"/>
          <w:szCs w:val="22"/>
        </w:rPr>
        <w:t xml:space="preserve">Chaque skill affiché dans le tableau dispose d'un badge de tier de confiance (0, 1 ou 2) qui détermine ses capacités d'exécution via le sandbox Docker/gVisor. Ce système de trust-tiered capability gating est la contribution C3 du mémoire de recherche, résolvant le dilemme évolution-sécurité de la taxonomie CIK.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80"/>
        <w:gridCol w:w="2880"/>
        <w:gridCol w:w="2400"/>
      </w:tblGrid>
      <w:tr>
        <w:trPr>
          <w:tblHeader/>
        </w:trPr>
        <w:tc>
          <w:tcPr>
            <w:tcW w:type="dxa" w:w="120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88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Conditions d'attribution</w:t>
            </w:r>
          </w:p>
        </w:tc>
        <w:tc>
          <w:tcPr>
            <w:tcW w:type="dxa" w:w="288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Capacités sandbox</w:t>
            </w:r>
          </w:p>
        </w:tc>
        <w:tc>
          <w:tcPr>
            <w:tcW w:type="dxa" w:w="240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Couleur dashboard</w:t>
            </w:r>
          </w:p>
        </w:tc>
      </w:tr>
      <w:tr>
        <w:tc>
          <w:tcPr>
            <w:tcW w:type="dxa" w:w="12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center"/>
            </w:pPr>
            <w:r>
              <w:rPr>
                <w:rFonts w:ascii="Arial" w:cs="Arial" w:eastAsia="Arial" w:hAnsi="Arial"/>
                <w:b/>
                <w:bCs/>
                <w:color w:val="5F5E5A"/>
                <w:sz w:val="20"/>
                <w:szCs w:val="20"/>
              </w:rPr>
              <w:t xml:space="preserve">Tier 0</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Non signé, non scanné par AgentLayers</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Ring 0 uniquement — lecture seule, aucun accès réseau</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Gris — avertissement opérateur</w:t>
            </w:r>
          </w:p>
        </w:tc>
      </w:tr>
      <w:tr>
        <w:tc>
          <w:tcPr>
            <w:tcW w:type="dxa" w:w="120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Tier 1</w:t>
            </w:r>
          </w:p>
        </w:tc>
        <w:tc>
          <w:tcPr>
            <w:tcW w:type="dxa" w:w="288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Scanné SAFE par AgentLayers (score ≥ 40)</w:t>
            </w:r>
          </w:p>
        </w:tc>
        <w:tc>
          <w:tcPr>
            <w:tcW w:type="dxa" w:w="288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Ring 1 — lecture/écriture limitée, réseau restreint</w:t>
            </w:r>
          </w:p>
        </w:tc>
        <w:tc>
          <w:tcPr>
            <w:tcW w:type="dxa" w:w="24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Vert — skill vérifié</w:t>
            </w:r>
          </w:p>
        </w:tc>
      </w:tr>
      <w:tr>
        <w:tc>
          <w:tcPr>
            <w:tcW w:type="dxa" w:w="12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vAlign w:val="center"/>
          </w:tcPr>
          <w:p>
            <w:pPr>
              <w:jc w:val="center"/>
            </w:pPr>
            <w:r>
              <w:rPr>
                <w:rFonts w:ascii="Arial" w:cs="Arial" w:eastAsia="Arial" w:hAnsi="Arial"/>
                <w:b/>
                <w:bCs/>
                <w:color w:val="185FA5"/>
                <w:sz w:val="20"/>
                <w:szCs w:val="20"/>
              </w:rPr>
              <w:t xml:space="preserve">Tier 2</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Signé Ed25519 + scanné SAFE + audité par AgentLayers</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Ring 2 — accès complet avec approbation humaine pour shell_exec</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Bleu — confiance maximale</w:t>
            </w:r>
          </w:p>
        </w:tc>
      </w:tr>
    </w:tbl>
    <w:p>
      <w:pPr>
        <w:spacing w:after="60" w:before="60"/>
      </w:pPr>
      <w:r>
        <w:t xml:space="preserve"/>
      </w:r>
    </w:p>
    <w:p>
      <w:pPr>
        <w:spacing w:after="100" w:before="60"/>
      </w:pPr>
      <w:r>
        <w:rPr>
          <w:rFonts w:ascii="Arial" w:cs="Arial" w:eastAsia="Arial" w:hAnsi="Arial"/>
          <w:color w:val="222222"/>
          <w:sz w:val="22"/>
          <w:szCs w:val="22"/>
        </w:rPr>
        <w:t xml:space="preserve">Le bouton d'action "Auditer les skills Tier 0" déclenche une analyse AgentLayers directement depuis le dashboard, permettant d'upgrader les skills non conformes vers Tier 1 ou Tier 2 sans quitter l'interface.</w:t>
      </w:r>
    </w:p>
    <w:p>
      <w:pPr>
        <w:spacing w:after="60" w:before="60"/>
      </w:pPr>
      <w:r>
        <w:t xml:space="preserve"/>
      </w:r>
    </w:p>
    <w:p>
      <w:pPr>
        <w:pStyle w:val="Heading3"/>
        <w:spacing w:after="80" w:before="200"/>
      </w:pPr>
      <w:r>
        <w:rPr>
          <w:rFonts w:ascii="Arial" w:cs="Arial" w:eastAsia="Arial" w:hAnsi="Arial"/>
          <w:b/>
          <w:bCs/>
          <w:color w:val="0A2540"/>
          <w:sz w:val="22"/>
          <w:szCs w:val="22"/>
        </w:rPr>
        <w:t xml:space="preserve">3.5.2 Agents pairs — Peer Trust</w:t>
      </w:r>
    </w:p>
    <w:p>
      <w:pPr>
        <w:spacing w:after="100" w:before="60"/>
      </w:pPr>
      <w:r>
        <w:rPr>
          <w:rFonts w:ascii="Arial" w:cs="Arial" w:eastAsia="Arial" w:hAnsi="Arial"/>
          <w:color w:val="222222"/>
          <w:sz w:val="22"/>
          <w:szCs w:val="22"/>
        </w:rPr>
        <w:t xml:space="preserve">Chaque agent pair affiché comporte son nom, son DID complet en monospace, une barre de progression visuelle du trust score (0-100, équivalent de la normalisation 0-1000 d'IATP), et la valeur numérique colorée. Les règles de réaction sont :</w:t>
      </w:r>
    </w:p>
    <w:p>
      <w:pPr>
        <w:pStyle w:val="ListParagraph"/>
        <w:numPr>
          <w:ilvl w:val="0"/>
          <w:numId w:val="2"/>
        </w:numPr>
        <w:spacing w:after="40" w:before="40"/>
      </w:pPr>
      <w:r>
        <w:rPr>
          <w:rFonts w:ascii="Arial" w:cs="Arial" w:eastAsia="Arial" w:hAnsi="Arial"/>
          <w:b w:val="false"/>
          <w:bCs w:val="false"/>
          <w:color w:val="222222"/>
          <w:sz w:val="22"/>
          <w:szCs w:val="22"/>
        </w:rPr>
        <w:t xml:space="preserve">Score ≥ 75 (vert) — communication complète, délégation autorisée.</w:t>
      </w:r>
    </w:p>
    <w:p>
      <w:pPr>
        <w:pStyle w:val="ListParagraph"/>
        <w:numPr>
          <w:ilvl w:val="0"/>
          <w:numId w:val="2"/>
        </w:numPr>
        <w:spacing w:after="40" w:before="40"/>
      </w:pPr>
      <w:r>
        <w:rPr>
          <w:rFonts w:ascii="Arial" w:cs="Arial" w:eastAsia="Arial" w:hAnsi="Arial"/>
          <w:b w:val="false"/>
          <w:bCs w:val="false"/>
          <w:color w:val="222222"/>
          <w:sz w:val="22"/>
          <w:szCs w:val="22"/>
        </w:rPr>
        <w:t xml:space="preserve">Score 50-74 (orange) — communication restreinte, monitoring renforcé, pas de délégation. L'avatar de l'agent est coloré en orange pour signal visuel immédiat.</w:t>
      </w:r>
    </w:p>
    <w:p>
      <w:pPr>
        <w:pStyle w:val="ListParagraph"/>
        <w:numPr>
          <w:ilvl w:val="0"/>
          <w:numId w:val="2"/>
        </w:numPr>
        <w:spacing w:after="40" w:before="40"/>
      </w:pPr>
      <w:r>
        <w:rPr>
          <w:rFonts w:ascii="Arial" w:cs="Arial" w:eastAsia="Arial" w:hAnsi="Arial"/>
          <w:b w:val="false"/>
          <w:bCs w:val="false"/>
          <w:color w:val="222222"/>
          <w:sz w:val="22"/>
          <w:szCs w:val="22"/>
        </w:rPr>
        <w:t xml:space="preserve">Score &lt; 50 (rouge) — communication refusée, agent mis en quarantaine. Le trust score décroît selon une demi-vie configurable (défaut : 7 jours).</w:t>
      </w:r>
    </w:p>
    <w:p>
      <w:pPr>
        <w:spacing w:after="60" w:before="60"/>
      </w:pPr>
      <w:r>
        <w:t xml:space="preserve"/>
      </w:r>
    </w:p>
    <w:p>
      <w:pPr>
        <w:pStyle w:val="Heading3"/>
        <w:spacing w:after="80" w:before="200"/>
      </w:pPr>
      <w:r>
        <w:rPr>
          <w:rFonts w:ascii="Arial" w:cs="Arial" w:eastAsia="Arial" w:hAnsi="Arial"/>
          <w:b/>
          <w:bCs/>
          <w:color w:val="0A2540"/>
          <w:sz w:val="22"/>
          <w:szCs w:val="22"/>
        </w:rPr>
        <w:t xml:space="preserve">3.5.3 Serveurs MCP — MCP Gate</w:t>
      </w:r>
    </w:p>
    <w:p>
      <w:pPr>
        <w:spacing w:after="100" w:before="60"/>
      </w:pPr>
      <w:r>
        <w:rPr>
          <w:rFonts w:ascii="Arial" w:cs="Arial" w:eastAsia="Arial" w:hAnsi="Arial"/>
          <w:color w:val="222222"/>
          <w:sz w:val="22"/>
          <w:szCs w:val="22"/>
        </w:rPr>
        <w:t xml:space="preserve">Les serveurs MCP (Model Context Protocol) sont affichés avec leur statut SAFE/CAUTION/DANGEROUS et leur score AgentLayers MCP Scanner (5 critères : sécurité endpoint, scope des permissions, risque d'exfiltration, solidité de l'authentification, transparence de la configuration). 36,7% des serveurs MCP sont vulnérables à des attaques SSRF selon BlueRock Security (2026), d'où l'importance de ce composant.</w:t>
      </w:r>
    </w:p>
    <w:p>
      <w:pPr>
        <w:spacing w:after="60" w:before="60"/>
      </w:pPr>
      <w:r>
        <w:t xml:space="preserve"/>
      </w:r>
    </w:p>
    <w:p>
      <w:pPr>
        <w:pStyle w:val="Heading2"/>
        <w:spacing w:after="120" w:before="280"/>
      </w:pPr>
      <w:r>
        <w:rPr>
          <w:rFonts w:ascii="Arial" w:cs="Arial" w:eastAsia="Arial" w:hAnsi="Arial"/>
          <w:b/>
          <w:bCs/>
          <w:color w:val="0F6E56"/>
          <w:sz w:val="26"/>
          <w:szCs w:val="26"/>
        </w:rPr>
        <w:t xml:space="preserve">3.6 Zone 6 — Decision Trace et Conformité réglementaire</w:t>
      </w:r>
    </w:p>
    <w:p>
      <w:pPr>
        <w:pStyle w:val="Heading3"/>
        <w:spacing w:after="80" w:before="200"/>
      </w:pPr>
      <w:r>
        <w:rPr>
          <w:rFonts w:ascii="Arial" w:cs="Arial" w:eastAsia="Arial" w:hAnsi="Arial"/>
          <w:b/>
          <w:bCs/>
          <w:color w:val="0A2540"/>
          <w:sz w:val="22"/>
          <w:szCs w:val="22"/>
        </w:rPr>
        <w:t xml:space="preserve">3.6.1 Journal de décisions — Decision Trace</w:t>
      </w:r>
    </w:p>
    <w:p>
      <w:pPr>
        <w:spacing w:after="100" w:before="60"/>
      </w:pPr>
      <w:r>
        <w:rPr>
          <w:rFonts w:ascii="Arial" w:cs="Arial" w:eastAsia="Arial" w:hAnsi="Arial"/>
          <w:color w:val="222222"/>
          <w:sz w:val="22"/>
          <w:szCs w:val="22"/>
        </w:rPr>
        <w:t xml:space="preserve">Le journal de décisions est le composant d'auditabilité central d'Odin. Chaque entrée comprend :</w:t>
      </w:r>
    </w:p>
    <w:p>
      <w:pPr>
        <w:pStyle w:val="ListParagraph"/>
        <w:numPr>
          <w:ilvl w:val="0"/>
          <w:numId w:val="2"/>
        </w:numPr>
        <w:spacing w:after="40" w:before="40"/>
      </w:pPr>
      <w:r>
        <w:rPr>
          <w:rFonts w:ascii="Arial" w:cs="Arial" w:eastAsia="Arial" w:hAnsi="Arial"/>
          <w:b w:val="false"/>
          <w:bCs w:val="false"/>
          <w:color w:val="222222"/>
          <w:sz w:val="22"/>
          <w:szCs w:val="22"/>
        </w:rPr>
        <w:t xml:space="preserve">Horodatage UTC précis (format HH:MM:SS) pour corrélation avec les logs systèmes.</w:t>
      </w:r>
    </w:p>
    <w:p>
      <w:pPr>
        <w:pStyle w:val="ListParagraph"/>
        <w:numPr>
          <w:ilvl w:val="0"/>
          <w:numId w:val="2"/>
        </w:numPr>
        <w:spacing w:after="40" w:before="40"/>
      </w:pPr>
      <w:r>
        <w:rPr>
          <w:rFonts w:ascii="Arial" w:cs="Arial" w:eastAsia="Arial" w:hAnsi="Arial"/>
          <w:b w:val="false"/>
          <w:bCs w:val="false"/>
          <w:color w:val="222222"/>
          <w:sz w:val="22"/>
          <w:szCs w:val="22"/>
        </w:rPr>
        <w:t xml:space="preserve">Point coloré indiquant la nature de la décision : vert (autorisation), orange (avertissement), rouge (blocage).</w:t>
      </w:r>
    </w:p>
    <w:p>
      <w:pPr>
        <w:pStyle w:val="ListParagraph"/>
        <w:numPr>
          <w:ilvl w:val="0"/>
          <w:numId w:val="2"/>
        </w:numPr>
        <w:spacing w:after="40" w:before="40"/>
      </w:pPr>
      <w:r>
        <w:rPr>
          <w:rFonts w:ascii="Arial" w:cs="Arial" w:eastAsia="Arial" w:hAnsi="Arial"/>
          <w:b w:val="false"/>
          <w:bCs w:val="false"/>
          <w:color w:val="222222"/>
          <w:sz w:val="22"/>
          <w:szCs w:val="22"/>
        </w:rPr>
        <w:t xml:space="preserve">Composant émetteur (Cedar PEP, IFC Engine, Merkle Memory, Skill Gate, A2A Peer Audit) en gras.</w:t>
      </w:r>
    </w:p>
    <w:p>
      <w:pPr>
        <w:pStyle w:val="ListParagraph"/>
        <w:numPr>
          <w:ilvl w:val="0"/>
          <w:numId w:val="2"/>
        </w:numPr>
        <w:spacing w:after="40" w:before="40"/>
      </w:pPr>
      <w:r>
        <w:rPr>
          <w:rFonts w:ascii="Arial" w:cs="Arial" w:eastAsia="Arial" w:hAnsi="Arial"/>
          <w:b w:val="false"/>
          <w:bCs w:val="false"/>
          <w:color w:val="222222"/>
          <w:sz w:val="22"/>
          <w:szCs w:val="22"/>
        </w:rPr>
        <w:t xml:space="preserve">Description de l'action : ressource concernée, résultat de la décision, politique appliquée ou règle violée.</w:t>
      </w:r>
    </w:p>
    <w:p>
      <w:pPr>
        <w:spacing w:after="60" w:before="60"/>
      </w:pPr>
      <w:r>
        <w:t xml:space="preserve"/>
      </w:r>
    </w:p>
    <w:p>
      <w:pPr>
        <w:spacing w:after="100" w:before="60"/>
      </w:pPr>
      <w:r>
        <w:rPr>
          <w:rFonts w:ascii="Arial" w:cs="Arial" w:eastAsia="Arial" w:hAnsi="Arial"/>
          <w:color w:val="222222"/>
          <w:sz w:val="22"/>
          <w:szCs w:val="22"/>
        </w:rPr>
        <w:t xml:space="preserve">Chaque entrée du journal correspond à un span OpenTelemetry signé avec le DID de l'instance, conforme à l'OWASP Agent Observability Standard. La chaîne de décision complète (requête utilisateur → plan d'exécution → appels d'outils → vérifications → résultat) est reconstruisible pour tout audit externe.</w:t>
      </w:r>
    </w:p>
    <w:p>
      <w:pPr>
        <w:spacing w:after="60" w:before="60"/>
      </w:pPr>
      <w:r>
        <w:t xml:space="preserve"/>
      </w:r>
    </w:p>
    <w:p>
      <w:pPr>
        <w:spacing w:after="100" w:before="60"/>
      </w:pPr>
      <w:r>
        <w:rPr>
          <w:rFonts w:ascii="Arial" w:cs="Arial" w:eastAsia="Arial" w:hAnsi="Arial"/>
          <w:color w:val="222222"/>
          <w:sz w:val="22"/>
          <w:szCs w:val="22"/>
        </w:rPr>
        <w:t xml:space="preserve">Les types d'événements journalisés couvrent l'ensemble des 4 couches AEGIS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4320"/>
        <w:gridCol w:w="2520"/>
      </w:tblGrid>
      <w:tr>
        <w:trPr>
          <w:tblHeader/>
        </w:trPr>
        <w:tc>
          <w:tcPr>
            <w:tcW w:type="dxa" w:w="252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Émetteur</w:t>
            </w:r>
          </w:p>
        </w:tc>
        <w:tc>
          <w:tcPr>
            <w:tcW w:type="dxa" w:w="432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Exemple d'événement</w:t>
            </w:r>
          </w:p>
        </w:tc>
        <w:tc>
          <w:tcPr>
            <w:tcW w:type="dxa" w:w="252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Couche AEGIS</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Cedar PEP</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web_search autorisé — trust 82 ≥ 70, TTL valide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Layer 3 — Identité</w:t>
            </w:r>
          </w:p>
        </w:tc>
      </w:tr>
      <w:tr>
        <w:tc>
          <w:tcPr>
            <w:tcW w:type="dxa" w:w="252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Cedar PEP</w:t>
            </w:r>
          </w:p>
        </w:tc>
        <w:tc>
          <w:tcPr>
            <w:tcW w:type="dxa" w:w="432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shell_exec BLOQUÉ — approbation humaine requise (policy P-047)</w:t>
            </w:r>
          </w:p>
        </w:tc>
        <w:tc>
          <w:tcPr>
            <w:tcW w:type="dxa" w:w="252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Layer 3 — Identité</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IFC Engine</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Escalade UNTRUSTED→TRUSTED refusée pour email_body, quarantaine activée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Layer 1 — IFC</w:t>
            </w:r>
          </w:p>
        </w:tc>
      </w:tr>
      <w:tr>
        <w:tc>
          <w:tcPr>
            <w:tcW w:type="dxa" w:w="252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Merkle Memory</w:t>
            </w:r>
          </w:p>
        </w:tc>
        <w:tc>
          <w:tcPr>
            <w:tcW w:type="dxa" w:w="432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Écriture mémoire vérifiée, preuve valide, racine signée Ed25519</w:t>
            </w:r>
          </w:p>
        </w:tc>
        <w:tc>
          <w:tcPr>
            <w:tcW w:type="dxa" w:w="252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Layer 2 — Supply Chain</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Skill Gate</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db-connector-beta installé sans scan, Ring 0 forcé, notification opérateur</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Layer 2 — Supply Chain</w:t>
            </w:r>
          </w:p>
        </w:tc>
      </w:tr>
      <w:tr>
        <w:tc>
          <w:tcPr>
            <w:tcW w:type="dxa" w:w="252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A2A Peer Audit</w:t>
            </w:r>
          </w:p>
        </w:tc>
        <w:tc>
          <w:tcPr>
            <w:tcW w:type="dxa" w:w="432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orchestrator-alpha score 91, délégation autorisée</w:t>
            </w:r>
          </w:p>
        </w:tc>
        <w:tc>
          <w:tcPr>
            <w:tcW w:type="dxa" w:w="252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Layer 4 — Trust Mesh</w:t>
            </w:r>
          </w:p>
        </w:tc>
      </w:tr>
    </w:tbl>
    <w:p>
      <w:pPr>
        <w:spacing w:after="60" w:before="60"/>
      </w:pPr>
      <w:r>
        <w:t xml:space="preserve"/>
      </w:r>
    </w:p>
    <w:p>
      <w:pPr>
        <w:pStyle w:val="Heading3"/>
        <w:spacing w:after="80" w:before="200"/>
      </w:pPr>
      <w:r>
        <w:rPr>
          <w:rFonts w:ascii="Arial" w:cs="Arial" w:eastAsia="Arial" w:hAnsi="Arial"/>
          <w:b/>
          <w:bCs/>
          <w:color w:val="0A2540"/>
          <w:sz w:val="22"/>
          <w:szCs w:val="22"/>
        </w:rPr>
        <w:t xml:space="preserve">3.6.2 Conformité réglementaire</w:t>
      </w:r>
    </w:p>
    <w:p>
      <w:pPr>
        <w:spacing w:after="100" w:before="60"/>
      </w:pPr>
      <w:r>
        <w:rPr>
          <w:rFonts w:ascii="Arial" w:cs="Arial" w:eastAsia="Arial" w:hAnsi="Arial"/>
          <w:color w:val="222222"/>
          <w:sz w:val="22"/>
          <w:szCs w:val="22"/>
        </w:rPr>
        <w:t xml:space="preserve">Quatre barres de progression indiquent le niveau de couverture sur les cadres réglementaires et standards de sécurité pertinents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4320"/>
      </w:tblGrid>
      <w:tr>
        <w:trPr>
          <w:tblHeader/>
        </w:trPr>
        <w:tc>
          <w:tcPr>
            <w:tcW w:type="dxa" w:w="360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Cadre</w:t>
            </w:r>
          </w:p>
        </w:tc>
        <w:tc>
          <w:tcPr>
            <w:tcW w:type="dxa" w:w="144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Couverture</w:t>
            </w:r>
          </w:p>
        </w:tc>
        <w:tc>
          <w:tcPr>
            <w:tcW w:type="dxa" w:w="432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Périmètre mesuré</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EU AI Act — Art. 50 Transparence</w:t>
            </w:r>
          </w:p>
        </w:tc>
        <w:tc>
          <w:tcPr>
            <w:tcW w:type="dxa" w:w="144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100%</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Métadonnées de provenance, identité DID, trace de décision, score de confiance sur tous les outputs</w:t>
            </w:r>
          </w:p>
        </w:tc>
      </w:tr>
      <w:tr>
        <w:tc>
          <w:tcPr>
            <w:tcW w:type="dxa" w:w="36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OWASP ASI 2026 — 10 risques</w:t>
            </w:r>
          </w:p>
        </w:tc>
        <w:tc>
          <w:tcPr>
            <w:tcW w:type="dxa" w:w="144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0"/>
                <w:szCs w:val="20"/>
              </w:rPr>
              <w:t xml:space="preserve">9/10</w:t>
            </w:r>
          </w:p>
        </w:tc>
        <w:tc>
          <w:tcPr>
            <w:tcW w:type="dxa" w:w="432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ASI01 à ASI10, ASI08 partiellement couvert (cascade detection en développement)</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Singapore MGF — orientations IA</w:t>
            </w:r>
          </w:p>
        </w:tc>
        <w:tc>
          <w:tcPr>
            <w:tcW w:type="dxa" w:w="144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vAlign w:val="center"/>
          </w:tcPr>
          <w:p>
            <w:pPr>
              <w:jc w:val="center"/>
            </w:pPr>
            <w:r>
              <w:rPr>
                <w:rFonts w:ascii="Arial" w:cs="Arial" w:eastAsia="Arial" w:hAnsi="Arial"/>
                <w:b/>
                <w:bCs/>
                <w:color w:val="BA7517"/>
                <w:sz w:val="20"/>
                <w:szCs w:val="20"/>
              </w:rPr>
              <w:t xml:space="preserve">80%</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Gouvernance IA, explicabilité, fairness — documentation en cours de complétion</w:t>
            </w:r>
          </w:p>
        </w:tc>
      </w:tr>
      <w:tr>
        <w:tc>
          <w:tcPr>
            <w:tcW w:type="dxa" w:w="36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SLSA — provenance supply chain</w:t>
            </w:r>
          </w:p>
        </w:tc>
        <w:tc>
          <w:tcPr>
            <w:tcW w:type="dxa" w:w="144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vAlign w:val="center"/>
          </w:tcPr>
          <w:p>
            <w:pPr>
              <w:jc w:val="center"/>
            </w:pPr>
            <w:r>
              <w:rPr>
                <w:rFonts w:ascii="Arial" w:cs="Arial" w:eastAsia="Arial" w:hAnsi="Arial"/>
                <w:b/>
                <w:bCs/>
                <w:color w:val="BA7517"/>
                <w:sz w:val="20"/>
                <w:szCs w:val="20"/>
              </w:rPr>
              <w:t xml:space="preserve">71%</w:t>
            </w:r>
          </w:p>
        </w:tc>
        <w:tc>
          <w:tcPr>
            <w:tcW w:type="dxa" w:w="432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Signing Ed25519 intégré, attestations Sigstore partielles — niveau SLSA 2 atteint</w:t>
            </w:r>
          </w:p>
        </w:tc>
      </w:tr>
    </w:tbl>
    <w:p>
      <w:pPr>
        <w:spacing w:after="60" w:before="60"/>
      </w:pPr>
      <w:r>
        <w:t xml:space="preserve"/>
      </w:r>
    </w:p>
    <w:p>
      <w:pPr>
        <w:pStyle w:val="Heading3"/>
        <w:spacing w:after="80" w:before="200"/>
      </w:pPr>
      <w:r>
        <w:rPr>
          <w:rFonts w:ascii="Arial" w:cs="Arial" w:eastAsia="Arial" w:hAnsi="Arial"/>
          <w:b/>
          <w:bCs/>
          <w:color w:val="0A2540"/>
          <w:sz w:val="22"/>
          <w:szCs w:val="22"/>
        </w:rPr>
        <w:t xml:space="preserve">3.6.3 Métriques de performance</w:t>
      </w:r>
    </w:p>
    <w:p>
      <w:pPr>
        <w:spacing w:after="100" w:before="60"/>
      </w:pPr>
      <w:r>
        <w:rPr>
          <w:rFonts w:ascii="Arial" w:cs="Arial" w:eastAsia="Arial" w:hAnsi="Arial"/>
          <w:color w:val="222222"/>
          <w:sz w:val="22"/>
          <w:szCs w:val="22"/>
        </w:rPr>
        <w:t xml:space="preserve">Quatre tuiles affichent les métriques de performance opérationnelles par rapport aux objectifs cibles définis dans le mémoire de recherche. Ces métriques sont celles de l'évaluation Tier 1 (benchmarks automatisés AgentDojo/ASB)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680"/>
        <w:gridCol w:w="1680"/>
        <w:gridCol w:w="3120"/>
      </w:tblGrid>
      <w:tr>
        <w:trPr>
          <w:tblHeader/>
        </w:trPr>
        <w:tc>
          <w:tcPr>
            <w:tcW w:type="dxa" w:w="288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Métrique</w:t>
            </w:r>
          </w:p>
        </w:tc>
        <w:tc>
          <w:tcPr>
            <w:tcW w:type="dxa" w:w="168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Valeur actuelle</w:t>
            </w:r>
          </w:p>
        </w:tc>
        <w:tc>
          <w:tcPr>
            <w:tcW w:type="dxa" w:w="168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Objectif mémoire</w:t>
            </w:r>
          </w:p>
        </w:tc>
        <w:tc>
          <w:tcPr>
            <w:tcW w:type="dxa" w:w="312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Statut</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Latence moy. par tool call sécurisé</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7.3 ms</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&lt; 10 ms</w:t>
            </w:r>
          </w:p>
        </w:tc>
        <w:tc>
          <w:tcPr>
            <w:tcW w:type="dxa" w:w="312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vAlign w:val="center"/>
          </w:tcPr>
          <w:p>
            <w:pPr>
              <w:jc w:val="left"/>
            </w:pPr>
            <w:r>
              <w:rPr>
                <w:rFonts w:ascii="Arial" w:cs="Arial" w:eastAsia="Arial" w:hAnsi="Arial"/>
                <w:b w:val="false"/>
                <w:bCs w:val="false"/>
                <w:color w:val="0F6E56"/>
                <w:sz w:val="20"/>
                <w:szCs w:val="20"/>
              </w:rPr>
              <w:t xml:space="preserve">Dans les objectifs — marge de 27%</w:t>
            </w:r>
          </w:p>
        </w:tc>
      </w:tr>
      <w:tr>
        <w:tc>
          <w:tcPr>
            <w:tcW w:type="dxa" w:w="288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Task completion rate (AgentDojo)</w:t>
            </w:r>
          </w:p>
        </w:tc>
        <w:tc>
          <w:tcPr>
            <w:tcW w:type="dxa" w:w="168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5F5E5A"/>
                <w:sz w:val="20"/>
                <w:szCs w:val="20"/>
              </w:rPr>
              <w:t xml:space="preserve">78%</w:t>
            </w:r>
          </w:p>
        </w:tc>
        <w:tc>
          <w:tcPr>
            <w:tcW w:type="dxa" w:w="168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5F5E5A"/>
                <w:sz w:val="20"/>
                <w:szCs w:val="20"/>
              </w:rPr>
              <w:t xml:space="preserve">&gt;= 75%</w:t>
            </w:r>
          </w:p>
        </w:tc>
        <w:tc>
          <w:tcPr>
            <w:tcW w:type="dxa" w:w="312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vAlign w:val="center"/>
          </w:tcPr>
          <w:p>
            <w:pPr>
              <w:jc w:val="left"/>
            </w:pPr>
            <w:r>
              <w:rPr>
                <w:rFonts w:ascii="Arial" w:cs="Arial" w:eastAsia="Arial" w:hAnsi="Arial"/>
                <w:b w:val="false"/>
                <w:bCs w:val="false"/>
                <w:color w:val="0F6E56"/>
                <w:sz w:val="20"/>
                <w:szCs w:val="20"/>
              </w:rPr>
              <w:t xml:space="preserve">Dans les objectifs — au-dessus du seuil</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Token overhead (pattern dual-LLM)</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2.4×</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&lt; 3×</w:t>
            </w:r>
          </w:p>
        </w:tc>
        <w:tc>
          <w:tcPr>
            <w:tcW w:type="dxa" w:w="312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vAlign w:val="center"/>
          </w:tcPr>
          <w:p>
            <w:pPr>
              <w:jc w:val="left"/>
            </w:pPr>
            <w:r>
              <w:rPr>
                <w:rFonts w:ascii="Arial" w:cs="Arial" w:eastAsia="Arial" w:hAnsi="Arial"/>
                <w:b w:val="false"/>
                <w:bCs w:val="false"/>
                <w:color w:val="0F6E56"/>
                <w:sz w:val="20"/>
                <w:szCs w:val="20"/>
              </w:rPr>
              <w:t xml:space="preserve">Dans les objectifs — marge confortable</w:t>
            </w:r>
          </w:p>
        </w:tc>
      </w:tr>
      <w:tr>
        <w:tc>
          <w:tcPr>
            <w:tcW w:type="dxa" w:w="288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Vérification Merkle par op. mémoire</w:t>
            </w:r>
          </w:p>
        </w:tc>
        <w:tc>
          <w:tcPr>
            <w:tcW w:type="dxa" w:w="168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5F5E5A"/>
                <w:sz w:val="20"/>
                <w:szCs w:val="20"/>
              </w:rPr>
              <w:t xml:space="preserve">182 ms</w:t>
            </w:r>
          </w:p>
        </w:tc>
        <w:tc>
          <w:tcPr>
            <w:tcW w:type="dxa" w:w="168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5F5E5A"/>
                <w:sz w:val="20"/>
                <w:szCs w:val="20"/>
              </w:rPr>
              <w:t xml:space="preserve">&lt; 500 ms</w:t>
            </w:r>
          </w:p>
        </w:tc>
        <w:tc>
          <w:tcPr>
            <w:tcW w:type="dxa" w:w="3120"/>
            <w:tcBorders>
              <w:top w:val="single" w:color="CCCCCC" w:sz="4"/>
              <w:left w:val="single" w:color="CCCCCC" w:sz="4"/>
              <w:bottom w:val="single" w:color="CCCCCC" w:sz="4"/>
              <w:right w:val="single" w:color="CCCCCC" w:sz="4"/>
            </w:tcBorders>
            <w:shd w:fill="E1F5EE" w:val="clear"/>
            <w:tcMar>
              <w:top w:type="dxa" w:w="80"/>
              <w:left w:type="dxa" w:w="120"/>
              <w:bottom w:type="dxa" w:w="80"/>
              <w:right w:type="dxa" w:w="120"/>
            </w:tcMar>
            <w:vAlign w:val="center"/>
          </w:tcPr>
          <w:p>
            <w:pPr>
              <w:jc w:val="left"/>
            </w:pPr>
            <w:r>
              <w:rPr>
                <w:rFonts w:ascii="Arial" w:cs="Arial" w:eastAsia="Arial" w:hAnsi="Arial"/>
                <w:b w:val="false"/>
                <w:bCs w:val="false"/>
                <w:color w:val="0F6E56"/>
                <w:sz w:val="20"/>
                <w:szCs w:val="20"/>
              </w:rPr>
              <w:t xml:space="preserve">Dans les objectifs — optimisation possible</w:t>
            </w:r>
          </w:p>
        </w:tc>
      </w:tr>
    </w:tbl>
    <w:p>
      <w:r>
        <w:br w:type="page"/>
      </w:r>
    </w:p>
    <w:p>
      <w:pPr>
        <w:pStyle w:val="Heading1"/>
        <w:pBdr>
          <w:bottom w:val="single" w:color="0A2540" w:sz="6" w:space="6"/>
        </w:pBdr>
        <w:spacing w:after="160" w:before="360"/>
      </w:pPr>
      <w:r>
        <w:rPr>
          <w:rFonts w:ascii="Arial" w:cs="Arial" w:eastAsia="Arial" w:hAnsi="Arial"/>
          <w:b/>
          <w:bCs/>
          <w:color w:val="0A2540"/>
          <w:sz w:val="32"/>
          <w:szCs w:val="32"/>
        </w:rPr>
        <w:t xml:space="preserve">4. Actions et interactivité</w:t>
      </w:r>
    </w:p>
    <w:p>
      <w:pPr>
        <w:spacing w:after="100" w:before="60"/>
      </w:pPr>
      <w:r>
        <w:rPr>
          <w:rFonts w:ascii="Arial" w:cs="Arial" w:eastAsia="Arial" w:hAnsi="Arial"/>
          <w:color w:val="222222"/>
          <w:sz w:val="22"/>
          <w:szCs w:val="22"/>
        </w:rPr>
        <w:t xml:space="preserve">Le dashboard n'est pas un outil de monitoring passif. Chaque section inclut des points d'action directe permettant à l'opérateur d'agir sans quitter l'interface.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rPr>
          <w:tblHeader/>
        </w:trPr>
        <w:tc>
          <w:tcPr>
            <w:tcW w:type="dxa" w:w="288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Bouton / Action</w:t>
            </w:r>
          </w:p>
        </w:tc>
        <w:tc>
          <w:tcPr>
            <w:tcW w:type="dxa" w:w="324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Déclencheur</w:t>
            </w:r>
          </w:p>
        </w:tc>
        <w:tc>
          <w:tcPr>
            <w:tcW w:type="dxa" w:w="324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Effet</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Auditer les skills Tier 0</w:t>
            </w:r>
          </w:p>
        </w:tc>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Clic depuis la section Skills</w:t>
            </w:r>
          </w:p>
        </w:tc>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Lance une analyse détaillée AgentLayers des skills non conformes avec recommandations de remédiation</w:t>
            </w:r>
          </w:p>
        </w:tc>
      </w:tr>
      <w:tr>
        <w:tc>
          <w:tcPr>
            <w:tcW w:type="dxa" w:w="288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Générer rapport de conformité</w:t>
            </w:r>
          </w:p>
        </w:tc>
        <w:tc>
          <w:tcPr>
            <w:tcW w:type="dxa" w:w="324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Clic depuis la section Conformité</w:t>
            </w:r>
          </w:p>
        </w:tc>
        <w:tc>
          <w:tcPr>
            <w:tcW w:type="dxa" w:w="324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Génère un rapport EU AI Act exportable avec les lacunes identifiées et un plan d'action priorisé</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Badge de statut (clic)</w:t>
            </w:r>
          </w:p>
        </w:tc>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Clic sur SAFE/CAUTION/DEGRADED</w:t>
            </w:r>
          </w:p>
        </w:tc>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Ouvre le détail des dimensions en alerte et les actions recommandées par AgentLayers</w:t>
            </w:r>
          </w:p>
        </w:tc>
      </w:tr>
      <w:tr>
        <w:tc>
          <w:tcPr>
            <w:tcW w:type="dxa" w:w="288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Peer Trust (agent en CAUTION)</w:t>
            </w:r>
          </w:p>
        </w:tc>
        <w:tc>
          <w:tcPr>
            <w:tcW w:type="dxa" w:w="324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Clic sur un agent avec score 50-74</w:t>
            </w:r>
          </w:p>
        </w:tc>
        <w:tc>
          <w:tcPr>
            <w:tcW w:type="dxa" w:w="324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Affiche l'historique de confiance de l'agent, les incidents détectés, et l'option de quarantaine</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Decision Trace (entrée)</w:t>
            </w:r>
          </w:p>
        </w:tc>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Clic sur une entrée du journal</w:t>
            </w:r>
          </w:p>
        </w:tc>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Déploie le span OTel complet avec tous les attributs de sécurité et la signature DID</w:t>
            </w:r>
          </w:p>
        </w:tc>
      </w:tr>
    </w:tbl>
    <w:p>
      <w:pPr>
        <w:spacing w:after="60" w:before="60"/>
      </w:pPr>
      <w:r>
        <w:t xml:space="preserve"/>
      </w:r>
    </w:p>
    <w:p>
      <w:pPr>
        <w:pStyle w:val="Heading1"/>
        <w:pBdr>
          <w:bottom w:val="single" w:color="0A2540" w:sz="6" w:space="6"/>
        </w:pBdr>
        <w:spacing w:after="160" w:before="360"/>
      </w:pPr>
      <w:r>
        <w:rPr>
          <w:rFonts w:ascii="Arial" w:cs="Arial" w:eastAsia="Arial" w:hAnsi="Arial"/>
          <w:b/>
          <w:bCs/>
          <w:color w:val="0A2540"/>
          <w:sz w:val="32"/>
          <w:szCs w:val="32"/>
        </w:rPr>
        <w:t xml:space="preserve">5. Mapping dashboard — OWASP ASI 2026</w:t>
      </w:r>
    </w:p>
    <w:p>
      <w:pPr>
        <w:spacing w:after="100" w:before="60"/>
      </w:pPr>
      <w:r>
        <w:rPr>
          <w:rFonts w:ascii="Arial" w:cs="Arial" w:eastAsia="Arial" w:hAnsi="Arial"/>
          <w:color w:val="222222"/>
          <w:sz w:val="22"/>
          <w:szCs w:val="22"/>
        </w:rPr>
        <w:t xml:space="preserve">Chaque composant du dashboard adresse explicitement des risques de la taxonomie OWASP Top 10 for Agentic Applications 2026 (publiée en décembre 2025). Ce mapping garantit une couverture exhaustive et permet à l'opérateur d'associer chaque alerte à un risque normé.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60"/>
        <w:gridCol w:w="3600"/>
        <w:gridCol w:w="2100"/>
      </w:tblGrid>
      <w:tr>
        <w:trPr>
          <w:tblHeader/>
        </w:trPr>
        <w:tc>
          <w:tcPr>
            <w:tcW w:type="dxa" w:w="90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Risque</w:t>
            </w:r>
          </w:p>
        </w:tc>
        <w:tc>
          <w:tcPr>
            <w:tcW w:type="dxa" w:w="276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Nom OWASP ASI</w:t>
            </w:r>
          </w:p>
        </w:tc>
        <w:tc>
          <w:tcPr>
            <w:tcW w:type="dxa" w:w="360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Composant dashboard couvrant</w:t>
            </w:r>
          </w:p>
        </w:tc>
        <w:tc>
          <w:tcPr>
            <w:tcW w:type="dxa" w:w="210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Indicateur visuel</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ASI01</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Goal Hijacking</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IFC Engine — blocage UNTRUSTED→TRUSTED, quarantaine LLM</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Entrée rouge Decision Trace</w:t>
            </w:r>
          </w:p>
        </w:tc>
      </w:tr>
      <w:tr>
        <w:tc>
          <w:tcPr>
            <w:tcW w:type="dxa" w:w="9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ASI02</w:t>
            </w:r>
          </w:p>
        </w:tc>
        <w:tc>
          <w:tcPr>
            <w:tcW w:type="dxa" w:w="27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Tool Misuse</w:t>
            </w:r>
          </w:p>
        </w:tc>
        <w:tc>
          <w:tcPr>
            <w:tcW w:type="dxa" w:w="36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Cedar PEP — violations bloquées affichées dans couche AEGIS</w:t>
            </w:r>
          </w:p>
        </w:tc>
        <w:tc>
          <w:tcPr>
            <w:tcW w:type="dxa" w:w="21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Badge ALERTE couche Cedar</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ASI03</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Identity &amp; Privilege Abuse</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DID Manager + Cedar — credentials éphémères, least-agency</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Latence PEP &lt; 0.1ms</w:t>
            </w:r>
          </w:p>
        </w:tc>
      </w:tr>
      <w:tr>
        <w:tc>
          <w:tcPr>
            <w:tcW w:type="dxa" w:w="9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ASI04</w:t>
            </w:r>
          </w:p>
        </w:tc>
        <w:tc>
          <w:tcPr>
            <w:tcW w:type="dxa" w:w="27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Supply Chain</w:t>
            </w:r>
          </w:p>
        </w:tc>
        <w:tc>
          <w:tcPr>
            <w:tcW w:type="dxa" w:w="36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Skill Gate — Trust Tiers, signatures Ed25519, Sigstore</w:t>
            </w:r>
          </w:p>
        </w:tc>
        <w:tc>
          <w:tcPr>
            <w:tcW w:type="dxa" w:w="21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Badges Tier 0/1/2 des skills</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ASI05</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Code Execution</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Sandbox Ring 0/1/2 selon tier, Cedar bloque shell_exec sans approbation</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Entrée rouge shell_exec</w:t>
            </w:r>
          </w:p>
        </w:tc>
      </w:tr>
      <w:tr>
        <w:tc>
          <w:tcPr>
            <w:tcW w:type="dxa" w:w="9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ASI06</w:t>
            </w:r>
          </w:p>
        </w:tc>
        <w:tc>
          <w:tcPr>
            <w:tcW w:type="dxa" w:w="27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Memory Poisoning</w:t>
            </w:r>
          </w:p>
        </w:tc>
        <w:tc>
          <w:tcPr>
            <w:tcW w:type="dxa" w:w="36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Merkle Memory — vérification de preuve à chaque lecture</w:t>
            </w:r>
          </w:p>
        </w:tc>
        <w:tc>
          <w:tcPr>
            <w:tcW w:type="dxa" w:w="21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Entrée verte Merkle Memory</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ASI07</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Insecure Inter-Agent Comm.</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A2A Peer Audit — scores trust, handshake DID IATP</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Barres trust agents pairs</w:t>
            </w:r>
          </w:p>
        </w:tc>
      </w:tr>
      <w:tr>
        <w:tc>
          <w:tcPr>
            <w:tcW w:type="dxa" w:w="9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ASI08</w:t>
            </w:r>
          </w:p>
        </w:tc>
        <w:tc>
          <w:tcPr>
            <w:tcW w:type="dxa" w:w="27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Cascading Failures</w:t>
            </w:r>
          </w:p>
        </w:tc>
        <w:tc>
          <w:tcPr>
            <w:tcW w:type="dxa" w:w="36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Circuit Breakers 5 états avec détection sémantique</w:t>
            </w:r>
          </w:p>
        </w:tc>
        <w:tc>
          <w:tcPr>
            <w:tcW w:type="dxa" w:w="21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État actif des 5 pastilles</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ASI09</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Human-Agent Trust Exploitation</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Cedar — approbation humaine obligatoire pour actions critiques</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Blocage shell_exec dans journal</w:t>
            </w:r>
          </w:p>
        </w:tc>
      </w:tr>
      <w:tr>
        <w:tc>
          <w:tcPr>
            <w:tcW w:type="dxa" w:w="9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ASI10</w:t>
            </w:r>
          </w:p>
        </w:tc>
        <w:tc>
          <w:tcPr>
            <w:tcW w:type="dxa" w:w="27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Rogue Agents</w:t>
            </w:r>
          </w:p>
        </w:tc>
        <w:tc>
          <w:tcPr>
            <w:tcW w:type="dxa" w:w="36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Trust Mesh — quarantaine agents &lt; 50, détection misevolution</w:t>
            </w:r>
          </w:p>
        </w:tc>
        <w:tc>
          <w:tcPr>
            <w:tcW w:type="dxa" w:w="21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Avatar orange/rouge agent pair</w:t>
            </w:r>
          </w:p>
        </w:tc>
      </w:tr>
    </w:tbl>
    <w:p>
      <w:r>
        <w:br w:type="page"/>
      </w:r>
    </w:p>
    <w:p>
      <w:pPr>
        <w:pStyle w:val="Heading1"/>
        <w:pBdr>
          <w:bottom w:val="single" w:color="0A2540" w:sz="6" w:space="6"/>
        </w:pBdr>
        <w:spacing w:after="160" w:before="360"/>
      </w:pPr>
      <w:r>
        <w:rPr>
          <w:rFonts w:ascii="Arial" w:cs="Arial" w:eastAsia="Arial" w:hAnsi="Arial"/>
          <w:b/>
          <w:bCs/>
          <w:color w:val="0A2540"/>
          <w:sz w:val="32"/>
          <w:szCs w:val="32"/>
        </w:rPr>
        <w:t xml:space="preserve">6. Principes de conception UX</w:t>
      </w:r>
    </w:p>
    <w:p>
      <w:pPr>
        <w:pStyle w:val="Heading2"/>
        <w:spacing w:after="120" w:before="280"/>
      </w:pPr>
      <w:r>
        <w:rPr>
          <w:rFonts w:ascii="Arial" w:cs="Arial" w:eastAsia="Arial" w:hAnsi="Arial"/>
          <w:b/>
          <w:bCs/>
          <w:color w:val="0F6E56"/>
          <w:sz w:val="26"/>
          <w:szCs w:val="26"/>
        </w:rPr>
        <w:t xml:space="preserve">6.1 Hiérarchie informationnelle</w:t>
      </w:r>
    </w:p>
    <w:p>
      <w:pPr>
        <w:spacing w:after="100" w:before="60"/>
      </w:pPr>
      <w:r>
        <w:rPr>
          <w:rFonts w:ascii="Arial" w:cs="Arial" w:eastAsia="Arial" w:hAnsi="Arial"/>
          <w:color w:val="222222"/>
          <w:sz w:val="22"/>
          <w:szCs w:val="22"/>
        </w:rPr>
        <w:t xml:space="preserve">Le dashboard applique le principe "F-pattern" de lecture : les informations critiques (statut global, Trust Score, alertes) sont positionnées en haut à gauche. La densité d'information augmente progressivement vers le bas, permettant une consultation en mode survol (5 secondes pour l'état global) ou en mode analyse (consultation complète des traces).</w:t>
      </w:r>
    </w:p>
    <w:p>
      <w:pPr>
        <w:spacing w:after="60" w:before="60"/>
      </w:pPr>
      <w:r>
        <w:t xml:space="preserve"/>
      </w:r>
    </w:p>
    <w:p>
      <w:pPr>
        <w:pStyle w:val="Heading2"/>
        <w:spacing w:after="120" w:before="280"/>
      </w:pPr>
      <w:r>
        <w:rPr>
          <w:rFonts w:ascii="Arial" w:cs="Arial" w:eastAsia="Arial" w:hAnsi="Arial"/>
          <w:b/>
          <w:bCs/>
          <w:color w:val="0F6E56"/>
          <w:sz w:val="26"/>
          <w:szCs w:val="26"/>
        </w:rPr>
        <w:t xml:space="preserve">6.2 Sémantique des couleurs</w:t>
      </w:r>
    </w:p>
    <w:p>
      <w:pPr>
        <w:spacing w:after="100" w:before="60"/>
      </w:pPr>
      <w:r>
        <w:rPr>
          <w:rFonts w:ascii="Arial" w:cs="Arial" w:eastAsia="Arial" w:hAnsi="Arial"/>
          <w:color w:val="222222"/>
          <w:sz w:val="22"/>
          <w:szCs w:val="22"/>
        </w:rPr>
        <w:t xml:space="preserve">Un système de couleurs sémantiques cohérent est appliqué sur l'ensemble du dashboard. La même couleur signifie toujours la même chose, quelle que soit la section :</w:t>
      </w:r>
    </w:p>
    <w:p>
      <w:pPr>
        <w:pStyle w:val="ListParagraph"/>
        <w:numPr>
          <w:ilvl w:val="0"/>
          <w:numId w:val="2"/>
        </w:numPr>
        <w:spacing w:after="40" w:before="40"/>
      </w:pPr>
      <w:r>
        <w:rPr>
          <w:rFonts w:ascii="Arial" w:cs="Arial" w:eastAsia="Arial" w:hAnsi="Arial"/>
          <w:b w:val="false"/>
          <w:bCs w:val="false"/>
          <w:color w:val="222222"/>
          <w:sz w:val="22"/>
          <w:szCs w:val="22"/>
        </w:rPr>
        <w:t xml:space="preserve">Vert (#0F6E56 et variantes) — sécurisé, conforme, dans les objectifs. Utilisé pour les badges SAFE, les tiers 1-2, les entrées de journal autorisées, les barres de performance conformes.</w:t>
      </w:r>
    </w:p>
    <w:p>
      <w:pPr>
        <w:pStyle w:val="ListParagraph"/>
        <w:numPr>
          <w:ilvl w:val="0"/>
          <w:numId w:val="2"/>
        </w:numPr>
        <w:spacing w:after="40" w:before="40"/>
      </w:pPr>
      <w:r>
        <w:rPr>
          <w:rFonts w:ascii="Arial" w:cs="Arial" w:eastAsia="Arial" w:hAnsi="Arial"/>
          <w:b w:val="false"/>
          <w:bCs w:val="false"/>
          <w:color w:val="222222"/>
          <w:sz w:val="22"/>
          <w:szCs w:val="22"/>
        </w:rPr>
        <w:t xml:space="preserve">Orange (#BA7517 et variantes) — attention requise, en dessous des seuils CAUTION. Utilisé pour les agents en monitoring renforcé, les conformités partielles, les alertes non critiques.</w:t>
      </w:r>
    </w:p>
    <w:p>
      <w:pPr>
        <w:pStyle w:val="ListParagraph"/>
        <w:numPr>
          <w:ilvl w:val="0"/>
          <w:numId w:val="2"/>
        </w:numPr>
        <w:spacing w:after="40" w:before="40"/>
      </w:pPr>
      <w:r>
        <w:rPr>
          <w:rFonts w:ascii="Arial" w:cs="Arial" w:eastAsia="Arial" w:hAnsi="Arial"/>
          <w:b w:val="false"/>
          <w:bCs w:val="false"/>
          <w:color w:val="222222"/>
          <w:sz w:val="22"/>
          <w:szCs w:val="22"/>
        </w:rPr>
        <w:t xml:space="preserve">Rouge (#A32D2D et variantes) — bloqué, critique, violation. Utilisé pour les entrées de journal refusées, les agents quarantinés, les alertes critiques.</w:t>
      </w:r>
    </w:p>
    <w:p>
      <w:pPr>
        <w:pStyle w:val="ListParagraph"/>
        <w:numPr>
          <w:ilvl w:val="0"/>
          <w:numId w:val="2"/>
        </w:numPr>
        <w:spacing w:after="40" w:before="40"/>
      </w:pPr>
      <w:r>
        <w:rPr>
          <w:rFonts w:ascii="Arial" w:cs="Arial" w:eastAsia="Arial" w:hAnsi="Arial"/>
          <w:b w:val="false"/>
          <w:bCs w:val="false"/>
          <w:color w:val="222222"/>
          <w:sz w:val="22"/>
          <w:szCs w:val="22"/>
        </w:rPr>
        <w:t xml:space="preserve">Bleu (#185FA5 et variantes) — information, skills Tier 2, éléments neutres mais importants.</w:t>
      </w:r>
    </w:p>
    <w:p>
      <w:pPr>
        <w:pStyle w:val="ListParagraph"/>
        <w:numPr>
          <w:ilvl w:val="0"/>
          <w:numId w:val="2"/>
        </w:numPr>
        <w:spacing w:after="40" w:before="40"/>
      </w:pPr>
      <w:r>
        <w:rPr>
          <w:rFonts w:ascii="Arial" w:cs="Arial" w:eastAsia="Arial" w:hAnsi="Arial"/>
          <w:b w:val="false"/>
          <w:bCs w:val="false"/>
          <w:color w:val="222222"/>
          <w:sz w:val="22"/>
          <w:szCs w:val="22"/>
        </w:rPr>
        <w:t xml:space="preserve">Gris (#5F5E5A et variantes) — neutre, non évalué, Tier 0, métadonnées secondaires.</w:t>
      </w:r>
    </w:p>
    <w:p>
      <w:pPr>
        <w:spacing w:after="60" w:before="60"/>
      </w:pPr>
      <w:r>
        <w:t xml:space="preserve"/>
      </w:r>
    </w:p>
    <w:p>
      <w:pPr>
        <w:pStyle w:val="Heading2"/>
        <w:spacing w:after="120" w:before="280"/>
      </w:pPr>
      <w:r>
        <w:rPr>
          <w:rFonts w:ascii="Arial" w:cs="Arial" w:eastAsia="Arial" w:hAnsi="Arial"/>
          <w:b/>
          <w:bCs/>
          <w:color w:val="0F6E56"/>
          <w:sz w:val="26"/>
          <w:szCs w:val="26"/>
        </w:rPr>
        <w:t xml:space="preserve">6.3 Police monospace pour les données techniques</w:t>
      </w:r>
    </w:p>
    <w:p>
      <w:pPr>
        <w:spacing w:after="100" w:before="60"/>
      </w:pPr>
      <w:r>
        <w:rPr>
          <w:rFonts w:ascii="Arial" w:cs="Arial" w:eastAsia="Arial" w:hAnsi="Arial"/>
          <w:color w:val="222222"/>
          <w:sz w:val="22"/>
          <w:szCs w:val="22"/>
        </w:rPr>
        <w:t xml:space="preserve">Tous les éléments à nature cryptographique ou technique (DID, scores numériques, horodatages, noms de ressources) sont affichés en police monospace. Cette convention visuelle distingue immédiatement les données système des textes descriptifs, et facilite la lecture des longues chaînes de caractères comme les DIDs.</w:t>
      </w:r>
    </w:p>
    <w:p>
      <w:pPr>
        <w:spacing w:after="60" w:before="60"/>
      </w:pPr>
      <w:r>
        <w:t xml:space="preserve"/>
      </w:r>
    </w:p>
    <w:p>
      <w:pPr>
        <w:pStyle w:val="Heading2"/>
        <w:spacing w:after="120" w:before="280"/>
      </w:pPr>
      <w:r>
        <w:rPr>
          <w:rFonts w:ascii="Arial" w:cs="Arial" w:eastAsia="Arial" w:hAnsi="Arial"/>
          <w:b/>
          <w:bCs/>
          <w:color w:val="0F6E56"/>
          <w:sz w:val="26"/>
          <w:szCs w:val="26"/>
        </w:rPr>
        <w:t xml:space="preserve">6.4 Actionnabilité directe</w:t>
      </w:r>
    </w:p>
    <w:p>
      <w:pPr>
        <w:spacing w:after="100" w:before="60"/>
      </w:pPr>
      <w:r>
        <w:rPr>
          <w:rFonts w:ascii="Arial" w:cs="Arial" w:eastAsia="Arial" w:hAnsi="Arial"/>
          <w:color w:val="222222"/>
          <w:sz w:val="22"/>
          <w:szCs w:val="22"/>
        </w:rPr>
        <w:t xml:space="preserve">Chaque section du dashboard qui détecte une anomalie ou une opportunité d'amélioration propose un bouton d'action contextuel. Ces boutons déclenchent des analyses AgentLayers approfondies en passant le contexte exact de la situation (DID de l'instance, nom du skill problématique, dimensions en déficit). L'opérateur n'a jamais besoin de sortir du dashboard pour lancer une action corrective.</w:t>
      </w:r>
    </w:p>
    <w:p>
      <w:pPr>
        <w:spacing w:after="60" w:before="60"/>
      </w:pPr>
      <w:r>
        <w:t xml:space="preserve"/>
      </w:r>
    </w:p>
    <w:p>
      <w:pPr>
        <w:pStyle w:val="Heading2"/>
        <w:spacing w:after="120" w:before="280"/>
      </w:pPr>
      <w:r>
        <w:rPr>
          <w:rFonts w:ascii="Arial" w:cs="Arial" w:eastAsia="Arial" w:hAnsi="Arial"/>
          <w:b/>
          <w:bCs/>
          <w:color w:val="0F6E56"/>
          <w:sz w:val="26"/>
          <w:szCs w:val="26"/>
        </w:rPr>
        <w:t xml:space="preserve">6.5 Temps réel et fraîcheur des données</w:t>
      </w:r>
    </w:p>
    <w:p>
      <w:pPr>
        <w:spacing w:after="100" w:before="60"/>
      </w:pPr>
      <w:r>
        <w:rPr>
          <w:rFonts w:ascii="Arial" w:cs="Arial" w:eastAsia="Arial" w:hAnsi="Arial"/>
          <w:color w:val="222222"/>
          <w:sz w:val="22"/>
          <w:szCs w:val="22"/>
        </w:rPr>
        <w:t xml:space="preserve">Le dashboard affiche l'horodatage de la dernière évaluation AgentLayers et un compte à rebours jusqu'à la prochaine. Les entrées du Decision Trace sont horodatées à la seconde. Cette transparence sur la fraîcheur des données évite les faux sentiments de sécurité basés sur des informations obsolètes.</w:t>
      </w:r>
    </w:p>
    <w:p>
      <w:r>
        <w:br w:type="page"/>
      </w:r>
    </w:p>
    <w:p>
      <w:pPr>
        <w:pStyle w:val="Heading1"/>
        <w:pBdr>
          <w:bottom w:val="single" w:color="0A2540" w:sz="6" w:space="6"/>
        </w:pBdr>
        <w:spacing w:after="160" w:before="360"/>
      </w:pPr>
      <w:r>
        <w:rPr>
          <w:rFonts w:ascii="Arial" w:cs="Arial" w:eastAsia="Arial" w:hAnsi="Arial"/>
          <w:b/>
          <w:bCs/>
          <w:color w:val="0A2540"/>
          <w:sz w:val="32"/>
          <w:szCs w:val="32"/>
        </w:rPr>
        <w:t xml:space="preserve">7. Évolutions futures du dashboard</w:t>
      </w:r>
    </w:p>
    <w:p>
      <w:pPr>
        <w:spacing w:after="100" w:before="60"/>
      </w:pPr>
      <w:r>
        <w:rPr>
          <w:rFonts w:ascii="Arial" w:cs="Arial" w:eastAsia="Arial" w:hAnsi="Arial"/>
          <w:color w:val="222222"/>
          <w:sz w:val="22"/>
          <w:szCs w:val="22"/>
        </w:rPr>
        <w:t xml:space="preserve">La roadmap produit d'Odin (Phase Beta → GA) prévoit les extensions suivantes de l'interface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520"/>
        <w:gridCol w:w="2880"/>
        <w:gridCol w:w="2400"/>
      </w:tblGrid>
      <w:tr>
        <w:trPr>
          <w:tblHeader/>
        </w:trPr>
        <w:tc>
          <w:tcPr>
            <w:tcW w:type="dxa" w:w="156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52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288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00"/>
            <w:tcBorders>
              <w:top w:val="single" w:color="0A2540" w:sz="4"/>
              <w:left w:val="single" w:color="0A2540" w:sz="4"/>
              <w:bottom w:val="single" w:color="0A2540" w:sz="4"/>
              <w:right w:val="single" w:color="0A2540"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Composant AEGIS</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Beta M7-8</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Mode comparatif agents</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Comparer le Trust Score Odin avec la baseline communautaire AgentLayers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Trust Mesh</w:t>
            </w:r>
          </w:p>
        </w:tc>
      </w:tr>
      <w:tr>
        <w:tc>
          <w:tcPr>
            <w:tcW w:type="dxa" w:w="15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Beta M9-10</w:t>
            </w:r>
          </w:p>
        </w:tc>
        <w:tc>
          <w:tcPr>
            <w:tcW w:type="dxa" w:w="252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Misevolution Tracker</w:t>
            </w:r>
          </w:p>
        </w:tc>
        <w:tc>
          <w:tcPr>
            <w:tcW w:type="dxa" w:w="288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Graphique de dérive comportementale sur les 4 voies de Shao et al. (NeurIPS 2025)</w:t>
            </w:r>
          </w:p>
        </w:tc>
        <w:tc>
          <w:tcPr>
            <w:tcW w:type="dxa" w:w="24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Trust Mesh</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Beta M11-12</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Agent Directory</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Listing des agents Odin certifiés AgentLayers avec filtres par Trust Score et capacités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Identité DID</w:t>
            </w:r>
          </w:p>
        </w:tc>
      </w:tr>
      <w:tr>
        <w:tc>
          <w:tcPr>
            <w:tcW w:type="dxa" w:w="15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GA M13+</w:t>
            </w:r>
          </w:p>
        </w:tc>
        <w:tc>
          <w:tcPr>
            <w:tcW w:type="dxa" w:w="252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Skill Marketplace intégré</w:t>
            </w:r>
          </w:p>
        </w:tc>
        <w:tc>
          <w:tcPr>
            <w:tcW w:type="dxa" w:w="288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Parcourir et installer des skills directement depuis le dashboard avec scores AgentLayers affichés</w:t>
            </w:r>
          </w:p>
        </w:tc>
        <w:tc>
          <w:tcPr>
            <w:tcW w:type="dxa" w:w="24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5F5E5A"/>
                <w:sz w:val="20"/>
                <w:szCs w:val="20"/>
              </w:rPr>
              <w:t xml:space="preserve">Supply Chain</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GA M17+</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Multi-agent orchestration UI</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Vue graph des agents Odin interconnectés avec trust scores sur chaque lien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Trust Mesh</w:t>
            </w:r>
          </w:p>
        </w:tc>
      </w:tr>
    </w:tbl>
    <w:p>
      <w:pPr>
        <w:spacing w:after="60" w:before="60"/>
      </w:pPr>
      <w:r>
        <w:t xml:space="preserve"/>
      </w:r>
    </w:p>
    <w:p>
      <w:pPr>
        <w:spacing w:after="60" w:before="60"/>
      </w:pPr>
      <w:r>
        <w:t xml:space="preserve"/>
      </w:r>
    </w:p>
    <w:p>
      <w:pPr>
        <w:pStyle w:val="Heading1"/>
        <w:pBdr>
          <w:bottom w:val="single" w:color="0A2540" w:sz="6" w:space="6"/>
        </w:pBdr>
        <w:spacing w:after="160" w:before="360"/>
      </w:pPr>
      <w:r>
        <w:rPr>
          <w:rFonts w:ascii="Arial" w:cs="Arial" w:eastAsia="Arial" w:hAnsi="Arial"/>
          <w:b/>
          <w:bCs/>
          <w:color w:val="0A2540"/>
          <w:sz w:val="32"/>
          <w:szCs w:val="32"/>
        </w:rPr>
        <w:t xml:space="preserve">8. Conclusion</w:t>
      </w:r>
    </w:p>
    <w:p>
      <w:pPr>
        <w:spacing w:after="100" w:before="60"/>
      </w:pPr>
      <w:r>
        <w:rPr>
          <w:rFonts w:ascii="Arial" w:cs="Arial" w:eastAsia="Arial" w:hAnsi="Arial"/>
          <w:color w:val="222222"/>
          <w:sz w:val="22"/>
          <w:szCs w:val="22"/>
        </w:rPr>
        <w:t xml:space="preserve">Le dashboard de sécurité Odin traduit visuellement la distinction fondatrice du Projet Odin : sécurité locale architecturale (gratuite, embarquée) et confiance réseau continue (AgentLayers). Il constitue la surface de contrôle unifiée permettant à un opérateur, un développeur ou un compliance officer de superviser en temps réel l'ensemble des quatre couches AEGIS.</w:t>
      </w:r>
    </w:p>
    <w:p>
      <w:pPr>
        <w:spacing w:after="60" w:before="60"/>
      </w:pPr>
      <w:r>
        <w:t xml:space="preserve"/>
      </w:r>
    </w:p>
    <w:p>
      <w:pPr>
        <w:spacing w:after="100" w:before="60"/>
      </w:pPr>
      <w:r>
        <w:rPr>
          <w:rFonts w:ascii="Arial" w:cs="Arial" w:eastAsia="Arial" w:hAnsi="Arial"/>
          <w:color w:val="222222"/>
          <w:sz w:val="22"/>
          <w:szCs w:val="22"/>
        </w:rPr>
        <w:t xml:space="preserve">Les six zones du dashboard couvrent l'intégralité des 10 risques OWASP ASI 2026, les quatre métriques de performance cibles du mémoire de recherche (&lt; 10ms, &lt; 3×, &lt; 500ms, ≥ 75%), et les exigences de transparence de l'EU AI Act Article 50 — faisant du dashboard non seulement un outil opérationnel, mais aussi une preuve de conformité exportable.</w:t>
      </w:r>
    </w:p>
    <w:p>
      <w:pPr>
        <w:spacing w:after="60" w:before="60"/>
      </w:pPr>
      <w:r>
        <w:t xml:space="preserve"/>
      </w:r>
    </w:p>
    <w:p>
      <w:pPr>
        <w:spacing w:after="100" w:before="60"/>
      </w:pPr>
      <w:r>
        <w:rPr>
          <w:rFonts w:ascii="Arial" w:cs="Arial" w:eastAsia="Arial" w:hAnsi="Arial"/>
          <w:color w:val="222222"/>
          <w:sz w:val="22"/>
          <w:szCs w:val="22"/>
        </w:rPr>
        <w:t xml:space="preserve">En intégrant des points d'action directe vers AgentLayers (audit de skills, rapport de conformité, analyse de pairs), le dashboard ferme la boucle entre détection et remédiation, réalisant la promesse centrale d'Odin : être non seulement sécurisé par design, mais certifié de confiance par le réseau.</w:t>
      </w:r>
    </w:p>
    <w:p>
      <w:pPr>
        <w:spacing w:after="60" w:before="60"/>
      </w:pPr>
      <w:r>
        <w:t xml:space="preserve"/>
      </w:r>
    </w:p>
    <w:p>
      <w:pPr>
        <w:spacing w:after="60" w:before="60"/>
      </w:pPr>
      <w:r>
        <w:t xml:space="preserve"/>
      </w:r>
    </w:p>
    <w:p>
      <w:pPr>
        <w:pBdr>
          <w:top w:val="single" w:color="CCCCCC" w:sz="4" w:space="8"/>
        </w:pBdr>
        <w:spacing w:after="40" w:before="160"/>
        <w:jc w:val="center"/>
      </w:pPr>
      <w:r>
        <w:rPr>
          <w:rFonts w:ascii="Arial" w:cs="Arial" w:eastAsia="Arial" w:hAnsi="Arial"/>
          <w:i/>
          <w:iCs/>
          <w:color w:val="5F5E5A"/>
          <w:sz w:val="16"/>
          <w:szCs w:val="16"/>
        </w:rPr>
        <w:t xml:space="preserve">Document généré dans le cadre du Projet Odin — Mémoire M2 Ingénierie IA/Big Data — Avril 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5F5E5A"/>
        <w:sz w:val="16"/>
        <w:szCs w:val="16"/>
      </w:rPr>
      <w:t xml:space="preserve">Confidentiel — M2 Ingénierie IA/Big Data</w:t>
    </w:r>
    <w:r>
      <w:rPr>
        <w:rFonts w:ascii="Arial" w:cs="Arial" w:eastAsia="Arial" w:hAnsi="Arial"/>
        <w:color w:val="5F5E5A"/>
        <w:sz w:val="16"/>
        <w:szCs w:val="16"/>
      </w:rPr>
      <w:t xml:space="preserve">	Page </w:t>
    </w:r>
    <w:r>
      <w:rPr>
        <w:rFonts w:ascii="Arial" w:cs="Arial" w:eastAsia="Arial" w:hAnsi="Arial"/>
        <w:color w:val="5F5E5A"/>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2540" w:sz="4" w:space="4"/>
      </w:pBdr>
    </w:pPr>
    <w:r>
      <w:rPr>
        <w:rFonts w:ascii="Arial" w:cs="Arial" w:eastAsia="Arial" w:hAnsi="Arial"/>
        <w:b/>
        <w:bCs/>
        <w:color w:val="0A2540"/>
        <w:sz w:val="18"/>
        <w:szCs w:val="18"/>
      </w:rPr>
      <w:t xml:space="preserve">ODIN by AgentLayers — Dashboard de Sécurité</w:t>
    </w:r>
    <w:r>
      <w:rPr>
        <w:rFonts w:ascii="Arial" w:cs="Arial" w:eastAsia="Arial" w:hAnsi="Arial"/>
        <w:color w:val="5F5E5A"/>
        <w:sz w:val="18"/>
        <w:szCs w:val="18"/>
      </w:rPr>
      <w:t xml:space="preserve">  |  Spécification UI — Projet Odin / AEGIS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A2540"/>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F6E5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A25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2026-04-12T14:19:08.764Z</dcterms:created>
  <dcterms:modified xsi:type="dcterms:W3CDTF">2026-04-12T14:19:08.766Z</dcterms:modified>
</cp:coreProperties>
</file>

<file path=docProps/custom.xml><?xml version="1.0" encoding="utf-8"?>
<Properties xmlns="http://schemas.openxmlformats.org/officeDocument/2006/custom-properties" xmlns:vt="http://schemas.openxmlformats.org/officeDocument/2006/docPropsVTypes"/>
</file>