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2E"/>
          <w:sz w:val="56"/>
          <w:szCs w:val="56"/>
        </w:rPr>
        <w:t xml:space="preserve">DELKO</w:t>
      </w:r>
    </w:p>
    <w:p>
      <w:pPr>
        <w:spacing w:after="60" w:before="0"/>
        <w:jc w:val="center"/>
      </w:pPr>
      <w:r>
        <w:rPr>
          <w:rFonts w:ascii="Arial" w:cs="Arial" w:eastAsia="Arial" w:hAnsi="Arial"/>
          <w:b/>
          <w:bCs/>
          <w:color w:val="2C5F8A"/>
          <w:sz w:val="32"/>
          <w:szCs w:val="32"/>
        </w:rPr>
        <w:t xml:space="preserve">Equal Partnership Agreement</w:t>
      </w:r>
    </w:p>
    <w:p>
      <w:pPr>
        <w:spacing w:after="400" w:before="0"/>
        <w:jc w:val="center"/>
      </w:pPr>
      <w:r>
        <w:rPr>
          <w:rFonts w:ascii="Arial" w:cs="Arial" w:eastAsia="Arial" w:hAnsi="Arial"/>
          <w:color w:val="555555"/>
          <w:sz w:val="24"/>
          <w:szCs w:val="24"/>
        </w:rPr>
        <w:t xml:space="preserve">Keveen Delgado  ·  Jack Koutrobis</w:t>
      </w:r>
    </w:p>
    <w:p>
      <w:pPr>
        <w:spacing w:after="80" w:before="80"/>
      </w:pPr>
      <w:r>
        <w:rPr>
          <w:rFonts w:ascii="Arial" w:cs="Arial" w:eastAsia="Arial" w:hAnsi="Arial"/>
          <w:sz w:val="22"/>
          <w:szCs w:val="22"/>
        </w:rPr>
        <w:t xml:space="preserve">This Agreement is entered into between Keveen Delgado (“Keveen”) and Jack Koutrobis (“Jack”) for the purpose of building and operating Delko, a local marketing systems agency, as equal co-founders.</w:t>
      </w:r>
    </w:p>
    <w:p>
      <w:pPr>
        <w:spacing w:after="80" w:before="80"/>
      </w:pPr>
      <w:r>
        <w:t xml:space="preserve"/>
      </w:r>
    </w:p>
    <w:p>
      <w:pPr>
        <w:spacing w:after="80" w:before="80"/>
      </w:pPr>
      <w:r>
        <w:rPr>
          <w:rFonts w:ascii="Arial" w:cs="Arial" w:eastAsia="Arial" w:hAnsi="Arial"/>
          <w:sz w:val="22"/>
          <w:szCs w:val="22"/>
        </w:rPr>
        <w:t xml:space="preserve">Both partners bring distinct and complementary strengths: Jack leads sales, outreach, and client acquisition; Keveen leads technical execution, Claude AI skill development, website building, and Google Business Profile systems. Together they form one complete agency.</w:t>
      </w:r>
    </w:p>
    <w:p>
      <w:pPr>
        <w:spacing w:after="80" w:before="80"/>
      </w:pPr>
      <w:r>
        <w:t xml:space="preserve"/>
      </w:r>
    </w:p>
    <w:p>
      <w:pPr>
        <w:spacing w:after="80" w:before="80"/>
      </w:pPr>
      <w:r>
        <w:rPr>
          <w:rFonts w:ascii="Arial" w:cs="Arial" w:eastAsia="Arial" w:hAnsi="Arial"/>
          <w:sz w:val="22"/>
          <w:szCs w:val="22"/>
        </w:rPr>
        <w:t xml:space="preserve">This Agreement defines ownership, revenue sharing, roles, responsibilities, client ownership, decision-making, and exit terms. It should be reviewed by a qualified attorney before being used as a formal legal document.</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 Agency Purpose</w:t>
      </w:r>
    </w:p>
    <w:p>
      <w:pPr>
        <w:spacing w:after="80" w:before="80"/>
      </w:pPr>
      <w:r>
        <w:rPr>
          <w:rFonts w:ascii="Arial" w:cs="Arial" w:eastAsia="Arial" w:hAnsi="Arial"/>
          <w:sz w:val="22"/>
          <w:szCs w:val="22"/>
        </w:rPr>
        <w:t xml:space="preserve">Delko helps local businesses get found online, look more trustworthy, and convert attention into real customers — through Google Business Profile optimization, modern websites, review systems, lead capture, and follow-up workflows.</w:t>
      </w:r>
    </w:p>
    <w:p>
      <w:pPr>
        <w:spacing w:after="80" w:before="80"/>
      </w:pPr>
      <w:r>
        <w:t xml:space="preserve"/>
      </w:r>
    </w:p>
    <w:p>
      <w:pPr>
        <w:spacing w:after="80" w:before="80"/>
      </w:pPr>
      <w:r>
        <w:rPr>
          <w:rFonts w:ascii="Arial" w:cs="Arial" w:eastAsia="Arial" w:hAnsi="Arial"/>
          <w:sz w:val="22"/>
          <w:szCs w:val="22"/>
        </w:rPr>
        <w:t xml:space="preserve">Services include, but are not limited to:</w:t>
      </w:r>
    </w:p>
    <w:p>
      <w:pPr>
        <w:pStyle w:val="ListParagraph"/>
        <w:numPr>
          <w:ilvl w:val="0"/>
          <w:numId w:val="2"/>
        </w:numPr>
        <w:spacing w:after="60" w:before="60"/>
      </w:pPr>
      <w:r>
        <w:rPr>
          <w:rFonts w:ascii="Arial" w:cs="Arial" w:eastAsia="Arial" w:hAnsi="Arial"/>
          <w:sz w:val="22"/>
          <w:szCs w:val="22"/>
        </w:rPr>
        <w:t xml:space="preserve">Google Business Profile optimization and management</w:t>
      </w:r>
    </w:p>
    <w:p>
      <w:pPr>
        <w:pStyle w:val="ListParagraph"/>
        <w:numPr>
          <w:ilvl w:val="0"/>
          <w:numId w:val="2"/>
        </w:numPr>
        <w:spacing w:after="60" w:before="60"/>
      </w:pPr>
      <w:r>
        <w:rPr>
          <w:rFonts w:ascii="Arial" w:cs="Arial" w:eastAsia="Arial" w:hAnsi="Arial"/>
          <w:sz w:val="22"/>
          <w:szCs w:val="22"/>
        </w:rPr>
        <w:t xml:space="preserve">Website builds, audits, and improvements</w:t>
      </w:r>
    </w:p>
    <w:p>
      <w:pPr>
        <w:pStyle w:val="ListParagraph"/>
        <w:numPr>
          <w:ilvl w:val="0"/>
          <w:numId w:val="2"/>
        </w:numPr>
        <w:spacing w:after="60" w:before="60"/>
      </w:pPr>
      <w:r>
        <w:rPr>
          <w:rFonts w:ascii="Arial" w:cs="Arial" w:eastAsia="Arial" w:hAnsi="Arial"/>
          <w:sz w:val="22"/>
          <w:szCs w:val="22"/>
        </w:rPr>
        <w:t xml:space="preserve">Local SEO and search visibility</w:t>
      </w:r>
    </w:p>
    <w:p>
      <w:pPr>
        <w:pStyle w:val="ListParagraph"/>
        <w:numPr>
          <w:ilvl w:val="0"/>
          <w:numId w:val="2"/>
        </w:numPr>
        <w:spacing w:after="60" w:before="60"/>
      </w:pPr>
      <w:r>
        <w:rPr>
          <w:rFonts w:ascii="Arial" w:cs="Arial" w:eastAsia="Arial" w:hAnsi="Arial"/>
          <w:sz w:val="22"/>
          <w:szCs w:val="22"/>
        </w:rPr>
        <w:t xml:space="preserve">Review generation systems</w:t>
      </w:r>
    </w:p>
    <w:p>
      <w:pPr>
        <w:pStyle w:val="ListParagraph"/>
        <w:numPr>
          <w:ilvl w:val="0"/>
          <w:numId w:val="2"/>
        </w:numPr>
        <w:spacing w:after="60" w:before="60"/>
      </w:pPr>
      <w:r>
        <w:rPr>
          <w:rFonts w:ascii="Arial" w:cs="Arial" w:eastAsia="Arial" w:hAnsi="Arial"/>
          <w:sz w:val="22"/>
          <w:szCs w:val="22"/>
        </w:rPr>
        <w:t xml:space="preserve">Lead capture and follow-up workflows</w:t>
      </w:r>
    </w:p>
    <w:p>
      <w:pPr>
        <w:pStyle w:val="ListParagraph"/>
        <w:numPr>
          <w:ilvl w:val="0"/>
          <w:numId w:val="2"/>
        </w:numPr>
        <w:spacing w:after="60" w:before="60"/>
      </w:pPr>
      <w:r>
        <w:rPr>
          <w:rFonts w:ascii="Arial" w:cs="Arial" w:eastAsia="Arial" w:hAnsi="Arial"/>
          <w:sz w:val="22"/>
          <w:szCs w:val="22"/>
        </w:rPr>
        <w:t xml:space="preserve">Social media content planning and management</w:t>
      </w:r>
    </w:p>
    <w:p>
      <w:pPr>
        <w:pStyle w:val="ListParagraph"/>
        <w:numPr>
          <w:ilvl w:val="0"/>
          <w:numId w:val="2"/>
        </w:numPr>
        <w:spacing w:after="60" w:before="60"/>
      </w:pPr>
      <w:r>
        <w:rPr>
          <w:rFonts w:ascii="Arial" w:cs="Arial" w:eastAsia="Arial" w:hAnsi="Arial"/>
          <w:sz w:val="22"/>
          <w:szCs w:val="22"/>
        </w:rPr>
        <w:t xml:space="preserve">Monthly performance reporting</w:t>
      </w:r>
    </w:p>
    <w:p>
      <w:pPr>
        <w:pStyle w:val="ListParagraph"/>
        <w:numPr>
          <w:ilvl w:val="0"/>
          <w:numId w:val="2"/>
        </w:numPr>
        <w:spacing w:after="60" w:before="60"/>
      </w:pPr>
      <w:r>
        <w:rPr>
          <w:rFonts w:ascii="Arial" w:cs="Arial" w:eastAsia="Arial" w:hAnsi="Arial"/>
          <w:sz w:val="22"/>
          <w:szCs w:val="22"/>
        </w:rPr>
        <w:t xml:space="preserve">CRM and automation setup</w:t>
      </w:r>
    </w:p>
    <w:p>
      <w:pPr>
        <w:pStyle w:val="ListParagraph"/>
        <w:numPr>
          <w:ilvl w:val="0"/>
          <w:numId w:val="2"/>
        </w:numPr>
        <w:spacing w:after="60" w:before="60"/>
      </w:pPr>
      <w:r>
        <w:rPr>
          <w:rFonts w:ascii="Arial" w:cs="Arial" w:eastAsia="Arial" w:hAnsi="Arial"/>
          <w:sz w:val="22"/>
          <w:szCs w:val="22"/>
        </w:rPr>
        <w:t xml:space="preserve">Paid advertising management</w:t>
      </w:r>
    </w:p>
    <w:p>
      <w:pPr>
        <w:pStyle w:val="ListParagraph"/>
        <w:numPr>
          <w:ilvl w:val="0"/>
          <w:numId w:val="2"/>
        </w:numPr>
        <w:spacing w:after="60" w:before="60"/>
      </w:pPr>
      <w:r>
        <w:rPr>
          <w:rFonts w:ascii="Arial" w:cs="Arial" w:eastAsia="Arial" w:hAnsi="Arial"/>
          <w:sz w:val="22"/>
          <w:szCs w:val="22"/>
        </w:rPr>
        <w:t xml:space="preserve">Local business growth consulting</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2. Equal Ownership Structure</w:t>
      </w:r>
    </w:p>
    <w:p>
      <w:pPr>
        <w:spacing w:after="80" w:before="80"/>
      </w:pPr>
      <w:r>
        <w:rPr>
          <w:rFonts w:ascii="Arial" w:cs="Arial" w:eastAsia="Arial" w:hAnsi="Arial"/>
          <w:sz w:val="22"/>
          <w:szCs w:val="22"/>
        </w:rPr>
        <w:t xml:space="preserve">Delko is a 50/50 partnership. Both founders contribute equally in value — Jack through sales and client acquisition, Keveen through technical delivery and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Partner</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Ownership</w:t>
            </w:r>
          </w:p>
        </w:tc>
      </w:tr>
      <w:tr>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Keveen Delgado</w:t>
            </w:r>
          </w:p>
        </w:tc>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Jack Koutrobis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w:t>
            </w:r>
          </w:p>
        </w:tc>
      </w:tr>
    </w:tbl>
    <w:p>
      <w:pPr>
        <w:spacing w:after="80" w:before="80"/>
      </w:pPr>
      <w:r>
        <w:t xml:space="preserve"/>
      </w:r>
    </w:p>
    <w:p>
      <w:pPr>
        <w:spacing w:after="80" w:before="80"/>
      </w:pPr>
      <w:r>
        <w:rPr>
          <w:rFonts w:ascii="Arial" w:cs="Arial" w:eastAsia="Arial" w:hAnsi="Arial"/>
          <w:sz w:val="22"/>
          <w:szCs w:val="22"/>
        </w:rPr>
        <w:t xml:space="preserve">This structure applies to long-term agency profit, decision rights, and company value.</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3. Partner Roles and Responsibilities</w:t>
      </w:r>
    </w:p>
    <w:p>
      <w:pPr>
        <w:spacing w:after="80" w:before="80"/>
      </w:pPr>
      <w:r>
        <w:rPr>
          <w:rFonts w:ascii="Arial" w:cs="Arial" w:eastAsia="Arial" w:hAnsi="Arial"/>
          <w:sz w:val="22"/>
          <w:szCs w:val="22"/>
        </w:rPr>
        <w:t xml:space="preserve">Each partner owns a distinct lane. One clear owner per function ensures accountability and avoids duplication.</w:t>
      </w:r>
    </w:p>
    <w:p>
      <w:pPr>
        <w:spacing w:after="80" w:before="80"/>
      </w:pPr>
      <w:r>
        <w:t xml:space="preserve"/>
      </w:r>
    </w:p>
    <w:p>
      <w:pPr>
        <w:pStyle w:val="Heading2"/>
        <w:spacing w:after="100" w:before="200"/>
      </w:pPr>
      <w:r>
        <w:rPr>
          <w:rFonts w:ascii="Arial" w:cs="Arial" w:eastAsia="Arial" w:hAnsi="Arial"/>
          <w:b/>
          <w:bCs/>
          <w:color w:val="2C5F8A"/>
          <w:sz w:val="24"/>
          <w:szCs w:val="24"/>
        </w:rPr>
        <w:t xml:space="preserve">Keveen Delgado — Technical &amp; Delivery</w:t>
      </w:r>
    </w:p>
    <w:p>
      <w:pPr>
        <w:pStyle w:val="ListParagraph"/>
        <w:numPr>
          <w:ilvl w:val="0"/>
          <w:numId w:val="2"/>
        </w:numPr>
        <w:spacing w:after="60" w:before="60"/>
      </w:pPr>
      <w:r>
        <w:rPr>
          <w:rFonts w:ascii="Arial" w:cs="Arial" w:eastAsia="Arial" w:hAnsi="Arial"/>
          <w:sz w:val="22"/>
          <w:szCs w:val="22"/>
        </w:rPr>
        <w:t xml:space="preserve">Claude AI skill development and automation workflows</w:t>
      </w:r>
    </w:p>
    <w:p>
      <w:pPr>
        <w:pStyle w:val="ListParagraph"/>
        <w:numPr>
          <w:ilvl w:val="0"/>
          <w:numId w:val="2"/>
        </w:numPr>
        <w:spacing w:after="60" w:before="60"/>
      </w:pPr>
      <w:r>
        <w:rPr>
          <w:rFonts w:ascii="Arial" w:cs="Arial" w:eastAsia="Arial" w:hAnsi="Arial"/>
          <w:sz w:val="22"/>
          <w:szCs w:val="22"/>
        </w:rPr>
        <w:t xml:space="preserve">Website builds (Framer, Webflow, Wix, Squarespace, WordPress)</w:t>
      </w:r>
    </w:p>
    <w:p>
      <w:pPr>
        <w:pStyle w:val="ListParagraph"/>
        <w:numPr>
          <w:ilvl w:val="0"/>
          <w:numId w:val="2"/>
        </w:numPr>
        <w:spacing w:after="60" w:before="60"/>
      </w:pPr>
      <w:r>
        <w:rPr>
          <w:rFonts w:ascii="Arial" w:cs="Arial" w:eastAsia="Arial" w:hAnsi="Arial"/>
          <w:sz w:val="22"/>
          <w:szCs w:val="22"/>
        </w:rPr>
        <w:t xml:space="preserve">Google Business Profile setup, optimization, and management</w:t>
      </w:r>
    </w:p>
    <w:p>
      <w:pPr>
        <w:pStyle w:val="ListParagraph"/>
        <w:numPr>
          <w:ilvl w:val="0"/>
          <w:numId w:val="2"/>
        </w:numPr>
        <w:spacing w:after="60" w:before="60"/>
      </w:pPr>
      <w:r>
        <w:rPr>
          <w:rFonts w:ascii="Arial" w:cs="Arial" w:eastAsia="Arial" w:hAnsi="Arial"/>
          <w:sz w:val="22"/>
          <w:szCs w:val="22"/>
        </w:rPr>
        <w:t xml:space="preserve">Agency operating system design and SOP creation</w:t>
      </w:r>
    </w:p>
    <w:p>
      <w:pPr>
        <w:pStyle w:val="ListParagraph"/>
        <w:numPr>
          <w:ilvl w:val="0"/>
          <w:numId w:val="2"/>
        </w:numPr>
        <w:spacing w:after="60" w:before="60"/>
      </w:pPr>
      <w:r>
        <w:rPr>
          <w:rFonts w:ascii="Arial" w:cs="Arial" w:eastAsia="Arial" w:hAnsi="Arial"/>
          <w:sz w:val="22"/>
          <w:szCs w:val="22"/>
        </w:rPr>
        <w:t xml:space="preserve">Client fulfillment and delivery quality</w:t>
      </w:r>
    </w:p>
    <w:p>
      <w:pPr>
        <w:pStyle w:val="ListParagraph"/>
        <w:numPr>
          <w:ilvl w:val="0"/>
          <w:numId w:val="2"/>
        </w:numPr>
        <w:spacing w:after="60" w:before="60"/>
      </w:pPr>
      <w:r>
        <w:rPr>
          <w:rFonts w:ascii="Arial" w:cs="Arial" w:eastAsia="Arial" w:hAnsi="Arial"/>
          <w:sz w:val="22"/>
          <w:szCs w:val="22"/>
        </w:rPr>
        <w:t xml:space="preserve">Reporting systems and dashboards</w:t>
      </w:r>
    </w:p>
    <w:p>
      <w:pPr>
        <w:pStyle w:val="ListParagraph"/>
        <w:numPr>
          <w:ilvl w:val="0"/>
          <w:numId w:val="2"/>
        </w:numPr>
        <w:spacing w:after="60" w:before="60"/>
      </w:pPr>
      <w:r>
        <w:rPr>
          <w:rFonts w:ascii="Arial" w:cs="Arial" w:eastAsia="Arial" w:hAnsi="Arial"/>
          <w:sz w:val="22"/>
          <w:szCs w:val="22"/>
        </w:rPr>
        <w:t xml:space="preserve">Tool integrations and tech stack</w:t>
      </w:r>
    </w:p>
    <w:p>
      <w:pPr>
        <w:pStyle w:val="ListParagraph"/>
        <w:numPr>
          <w:ilvl w:val="0"/>
          <w:numId w:val="2"/>
        </w:numPr>
        <w:spacing w:after="60" w:before="60"/>
      </w:pPr>
      <w:r>
        <w:rPr>
          <w:rFonts w:ascii="Arial" w:cs="Arial" w:eastAsia="Arial" w:hAnsi="Arial"/>
          <w:sz w:val="22"/>
          <w:szCs w:val="22"/>
        </w:rPr>
        <w:t xml:space="preserve">Long-term product and platform vision</w:t>
      </w:r>
    </w:p>
    <w:p>
      <w:pPr>
        <w:spacing w:after="80" w:before="80"/>
      </w:pPr>
      <w:r>
        <w:t xml:space="preserve"/>
      </w:r>
    </w:p>
    <w:p>
      <w:pPr>
        <w:pStyle w:val="Heading2"/>
        <w:spacing w:after="100" w:before="200"/>
      </w:pPr>
      <w:r>
        <w:rPr>
          <w:rFonts w:ascii="Arial" w:cs="Arial" w:eastAsia="Arial" w:hAnsi="Arial"/>
          <w:b/>
          <w:bCs/>
          <w:color w:val="2C5F8A"/>
          <w:sz w:val="24"/>
          <w:szCs w:val="24"/>
        </w:rPr>
        <w:t xml:space="preserve">Jack Koutrobis — Sales &amp; Outreach</w:t>
      </w:r>
    </w:p>
    <w:p>
      <w:pPr>
        <w:pStyle w:val="ListParagraph"/>
        <w:numPr>
          <w:ilvl w:val="0"/>
          <w:numId w:val="2"/>
        </w:numPr>
        <w:spacing w:after="60" w:before="60"/>
      </w:pPr>
      <w:r>
        <w:rPr>
          <w:rFonts w:ascii="Arial" w:cs="Arial" w:eastAsia="Arial" w:hAnsi="Arial"/>
          <w:sz w:val="22"/>
          <w:szCs w:val="22"/>
        </w:rPr>
        <w:t xml:space="preserve">Lead research and prospect list building</w:t>
      </w:r>
    </w:p>
    <w:p>
      <w:pPr>
        <w:pStyle w:val="ListParagraph"/>
        <w:numPr>
          <w:ilvl w:val="0"/>
          <w:numId w:val="2"/>
        </w:numPr>
        <w:spacing w:after="60" w:before="60"/>
      </w:pPr>
      <w:r>
        <w:rPr>
          <w:rFonts w:ascii="Arial" w:cs="Arial" w:eastAsia="Arial" w:hAnsi="Arial"/>
          <w:sz w:val="22"/>
          <w:szCs w:val="22"/>
        </w:rPr>
        <w:t xml:space="preserve">Cold outreach (DM, email, phone)</w:t>
      </w:r>
    </w:p>
    <w:p>
      <w:pPr>
        <w:pStyle w:val="ListParagraph"/>
        <w:numPr>
          <w:ilvl w:val="0"/>
          <w:numId w:val="2"/>
        </w:numPr>
        <w:spacing w:after="60" w:before="60"/>
      </w:pPr>
      <w:r>
        <w:rPr>
          <w:rFonts w:ascii="Arial" w:cs="Arial" w:eastAsia="Arial" w:hAnsi="Arial"/>
          <w:sz w:val="22"/>
          <w:szCs w:val="22"/>
        </w:rPr>
        <w:t xml:space="preserve">Discovery call booking and management</w:t>
      </w:r>
    </w:p>
    <w:p>
      <w:pPr>
        <w:pStyle w:val="ListParagraph"/>
        <w:numPr>
          <w:ilvl w:val="0"/>
          <w:numId w:val="2"/>
        </w:numPr>
        <w:spacing w:after="60" w:before="60"/>
      </w:pPr>
      <w:r>
        <w:rPr>
          <w:rFonts w:ascii="Arial" w:cs="Arial" w:eastAsia="Arial" w:hAnsi="Arial"/>
          <w:sz w:val="22"/>
          <w:szCs w:val="22"/>
        </w:rPr>
        <w:t xml:space="preserve">Proposal delivery and follow-up</w:t>
      </w:r>
    </w:p>
    <w:p>
      <w:pPr>
        <w:pStyle w:val="ListParagraph"/>
        <w:numPr>
          <w:ilvl w:val="0"/>
          <w:numId w:val="2"/>
        </w:numPr>
        <w:spacing w:after="60" w:before="60"/>
      </w:pPr>
      <w:r>
        <w:rPr>
          <w:rFonts w:ascii="Arial" w:cs="Arial" w:eastAsia="Arial" w:hAnsi="Arial"/>
          <w:sz w:val="22"/>
          <w:szCs w:val="22"/>
        </w:rPr>
        <w:t xml:space="preserve">Client acquisition and closing</w:t>
      </w:r>
    </w:p>
    <w:p>
      <w:pPr>
        <w:pStyle w:val="ListParagraph"/>
        <w:numPr>
          <w:ilvl w:val="0"/>
          <w:numId w:val="2"/>
        </w:numPr>
        <w:spacing w:after="60" w:before="60"/>
      </w:pPr>
      <w:r>
        <w:rPr>
          <w:rFonts w:ascii="Arial" w:cs="Arial" w:eastAsia="Arial" w:hAnsi="Arial"/>
          <w:sz w:val="22"/>
          <w:szCs w:val="22"/>
        </w:rPr>
        <w:t xml:space="preserve">Local networking and referral relationships</w:t>
      </w:r>
    </w:p>
    <w:p>
      <w:pPr>
        <w:pStyle w:val="ListParagraph"/>
        <w:numPr>
          <w:ilvl w:val="0"/>
          <w:numId w:val="2"/>
        </w:numPr>
        <w:spacing w:after="60" w:before="60"/>
      </w:pPr>
      <w:r>
        <w:rPr>
          <w:rFonts w:ascii="Arial" w:cs="Arial" w:eastAsia="Arial" w:hAnsi="Arial"/>
          <w:sz w:val="22"/>
          <w:szCs w:val="22"/>
        </w:rPr>
        <w:t xml:space="preserve">Pipeline management and CRM updates</w:t>
      </w:r>
    </w:p>
    <w:p>
      <w:pPr>
        <w:pStyle w:val="ListParagraph"/>
        <w:numPr>
          <w:ilvl w:val="0"/>
          <w:numId w:val="2"/>
        </w:numPr>
        <w:spacing w:after="60" w:before="60"/>
      </w:pPr>
      <w:r>
        <w:rPr>
          <w:rFonts w:ascii="Arial" w:cs="Arial" w:eastAsia="Arial" w:hAnsi="Arial"/>
          <w:sz w:val="22"/>
          <w:szCs w:val="22"/>
        </w:rPr>
        <w:t xml:space="preserve">Client communication during the sales process</w:t>
      </w:r>
    </w:p>
    <w:p>
      <w:pPr>
        <w:spacing w:after="80" w:before="80"/>
      </w:pPr>
      <w:r>
        <w:t xml:space="preserve"/>
      </w:r>
    </w:p>
    <w:p>
      <w:pPr>
        <w:pStyle w:val="Heading2"/>
        <w:spacing w:after="100" w:before="200"/>
      </w:pPr>
      <w:r>
        <w:rPr>
          <w:rFonts w:ascii="Arial" w:cs="Arial" w:eastAsia="Arial" w:hAnsi="Arial"/>
          <w:b/>
          <w:bCs/>
          <w:color w:val="2C5F8A"/>
          <w:sz w:val="24"/>
          <w:szCs w:val="24"/>
        </w:rPr>
        <w:t xml:space="preserve">Shared Responsibilities</w:t>
      </w:r>
    </w:p>
    <w:p>
      <w:pPr>
        <w:pStyle w:val="ListParagraph"/>
        <w:numPr>
          <w:ilvl w:val="0"/>
          <w:numId w:val="2"/>
        </w:numPr>
        <w:spacing w:after="60" w:before="60"/>
      </w:pPr>
      <w:r>
        <w:rPr>
          <w:rFonts w:ascii="Arial" w:cs="Arial" w:eastAsia="Arial" w:hAnsi="Arial"/>
          <w:sz w:val="22"/>
          <w:szCs w:val="22"/>
        </w:rPr>
        <w:t xml:space="preserve">Strategic decisions affecting agency direction</w:t>
      </w:r>
    </w:p>
    <w:p>
      <w:pPr>
        <w:pStyle w:val="ListParagraph"/>
        <w:numPr>
          <w:ilvl w:val="0"/>
          <w:numId w:val="2"/>
        </w:numPr>
        <w:spacing w:after="60" w:before="60"/>
      </w:pPr>
      <w:r>
        <w:rPr>
          <w:rFonts w:ascii="Arial" w:cs="Arial" w:eastAsia="Arial" w:hAnsi="Arial"/>
          <w:sz w:val="22"/>
          <w:szCs w:val="22"/>
        </w:rPr>
        <w:t xml:space="preserve">Pricing and package changes</w:t>
      </w:r>
    </w:p>
    <w:p>
      <w:pPr>
        <w:pStyle w:val="ListParagraph"/>
        <w:numPr>
          <w:ilvl w:val="0"/>
          <w:numId w:val="2"/>
        </w:numPr>
        <w:spacing w:after="60" w:before="60"/>
      </w:pPr>
      <w:r>
        <w:rPr>
          <w:rFonts w:ascii="Arial" w:cs="Arial" w:eastAsia="Arial" w:hAnsi="Arial"/>
          <w:sz w:val="22"/>
          <w:szCs w:val="22"/>
        </w:rPr>
        <w:t xml:space="preserve">Client selection and onboarding</w:t>
      </w:r>
    </w:p>
    <w:p>
      <w:pPr>
        <w:pStyle w:val="ListParagraph"/>
        <w:numPr>
          <w:ilvl w:val="0"/>
          <w:numId w:val="2"/>
        </w:numPr>
        <w:spacing w:after="60" w:before="60"/>
      </w:pPr>
      <w:r>
        <w:rPr>
          <w:rFonts w:ascii="Arial" w:cs="Arial" w:eastAsia="Arial" w:hAnsi="Arial"/>
          <w:sz w:val="22"/>
          <w:szCs w:val="22"/>
        </w:rPr>
        <w:t xml:space="preserve">Weekly partner scorecard and accountability</w:t>
      </w:r>
    </w:p>
    <w:p>
      <w:pPr>
        <w:pStyle w:val="ListParagraph"/>
        <w:numPr>
          <w:ilvl w:val="0"/>
          <w:numId w:val="2"/>
        </w:numPr>
        <w:spacing w:after="60" w:before="60"/>
      </w:pPr>
      <w:r>
        <w:rPr>
          <w:rFonts w:ascii="Arial" w:cs="Arial" w:eastAsia="Arial" w:hAnsi="Arial"/>
          <w:sz w:val="22"/>
          <w:szCs w:val="22"/>
        </w:rPr>
        <w:t xml:space="preserve">Case study capture and proof building</w:t>
      </w:r>
    </w:p>
    <w:p>
      <w:pPr>
        <w:pStyle w:val="ListParagraph"/>
        <w:numPr>
          <w:ilvl w:val="0"/>
          <w:numId w:val="2"/>
        </w:numPr>
        <w:spacing w:after="60" w:before="60"/>
      </w:pPr>
      <w:r>
        <w:rPr>
          <w:rFonts w:ascii="Arial" w:cs="Arial" w:eastAsia="Arial" w:hAnsi="Arial"/>
          <w:sz w:val="22"/>
          <w:szCs w:val="22"/>
        </w:rPr>
        <w:t xml:space="preserve">Major financial decisions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4. Revenue and Profit Sharing</w:t>
      </w:r>
    </w:p>
    <w:p>
      <w:pPr>
        <w:pStyle w:val="Heading2"/>
        <w:spacing w:after="100" w:before="200"/>
      </w:pPr>
      <w:r>
        <w:rPr>
          <w:rFonts w:ascii="Arial" w:cs="Arial" w:eastAsia="Arial" w:hAnsi="Arial"/>
          <w:b/>
          <w:bCs/>
          <w:color w:val="2C5F8A"/>
          <w:sz w:val="24"/>
          <w:szCs w:val="24"/>
        </w:rPr>
        <w:t xml:space="preserve">Sales Commission</w:t>
      </w:r>
    </w:p>
    <w:p>
      <w:pPr>
        <w:spacing w:after="80" w:before="80"/>
      </w:pPr>
      <w:r>
        <w:rPr>
          <w:rFonts w:ascii="Arial" w:cs="Arial" w:eastAsia="Arial" w:hAnsi="Arial"/>
          <w:sz w:val="22"/>
          <w:szCs w:val="22"/>
        </w:rPr>
        <w:t xml:space="preserve">The partner who directly closes a paying client receives a commission: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Commission Type</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Amount</w:t>
            </w:r>
          </w:p>
        </w:tc>
      </w:tr>
      <w:tr>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Setup fee commission</w:t>
            </w:r>
          </w:p>
        </w:tc>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50% of setup fee to the closing partner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Monthly recurring commission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of MRR from that client for first 6 months</w:t>
            </w:r>
          </w:p>
        </w:tc>
      </w:tr>
    </w:tbl>
    <w:p>
      <w:pPr>
        <w:spacing w:after="80" w:before="80"/>
      </w:pPr>
      <w:r>
        <w:t xml:space="preserve"/>
      </w:r>
    </w:p>
    <w:p>
      <w:pPr>
        <w:spacing w:after="80" w:before="80"/>
      </w:pPr>
      <w:r>
        <w:rPr>
          <w:rFonts w:ascii="Arial" w:cs="Arial" w:eastAsia="Arial" w:hAnsi="Arial"/>
          <w:sz w:val="22"/>
          <w:szCs w:val="22"/>
        </w:rPr>
        <w:t xml:space="preserve">Commission applies only to money actually collected. No commission is owed on unpaid, refunded, or cancelled revenue. If both partners jointly close a client, the commission split must be agreed in writing before collection.</w:t>
      </w:r>
    </w:p>
    <w:p>
      <w:pPr>
        <w:spacing w:after="80" w:before="80"/>
      </w:pPr>
      <w:r>
        <w:t xml:space="preserve"/>
      </w:r>
    </w:p>
    <w:p>
      <w:pPr>
        <w:pStyle w:val="Heading2"/>
        <w:spacing w:after="100" w:before="200"/>
      </w:pPr>
      <w:r>
        <w:rPr>
          <w:rFonts w:ascii="Arial" w:cs="Arial" w:eastAsia="Arial" w:hAnsi="Arial"/>
          <w:b/>
          <w:bCs/>
          <w:color w:val="2C5F8A"/>
          <w:sz w:val="24"/>
          <w:szCs w:val="24"/>
        </w:rPr>
        <w:t xml:space="preserve">Fulfillment Compensation</w:t>
      </w:r>
    </w:p>
    <w:p>
      <w:pPr>
        <w:spacing w:after="80" w:before="80"/>
      </w:pPr>
      <w:r>
        <w:rPr>
          <w:rFonts w:ascii="Arial" w:cs="Arial" w:eastAsia="Arial" w:hAnsi="Arial"/>
          <w:sz w:val="22"/>
          <w:szCs w:val="22"/>
        </w:rPr>
        <w:t xml:space="preserve">The partner performing client fulfillment may be compensated before profit is split. Fulfillment includes website work, GBP optimization, content, reporting, CRM setup, and client onboarding. Compensation must be agreed in writing before work begins.</w:t>
      </w:r>
    </w:p>
    <w:p>
      <w:pPr>
        <w:spacing w:after="80" w:before="80"/>
      </w:pPr>
      <w:r>
        <w:t xml:space="preserve"/>
      </w:r>
    </w:p>
    <w:p>
      <w:pPr>
        <w:pStyle w:val="Heading2"/>
        <w:spacing w:after="100" w:before="200"/>
      </w:pPr>
      <w:r>
        <w:rPr>
          <w:rFonts w:ascii="Arial" w:cs="Arial" w:eastAsia="Arial" w:hAnsi="Arial"/>
          <w:b/>
          <w:bCs/>
          <w:color w:val="2C5F8A"/>
          <w:sz w:val="24"/>
          <w:szCs w:val="24"/>
        </w:rPr>
        <w:t xml:space="preserve">Profit Distribution</w:t>
      </w:r>
    </w:p>
    <w:p>
      <w:pPr>
        <w:spacing w:after="80" w:before="80"/>
      </w:pPr>
      <w:r>
        <w:rPr>
          <w:rFonts w:ascii="Arial" w:cs="Arial" w:eastAsia="Arial" w:hAnsi="Arial"/>
          <w:sz w:val="22"/>
          <w:szCs w:val="22"/>
        </w:rPr>
        <w:t xml:space="preserve">After all commissions, fulfillment pay, contractors, tools, taxes, and approved expenses are deducted, distributable profit is split equally: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Partner</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Profit Split</w:t>
            </w:r>
          </w:p>
        </w:tc>
      </w:tr>
      <w:tr>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Keveen Delgado</w:t>
            </w:r>
          </w:p>
        </w:tc>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Jack Koutrobis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w:t>
            </w:r>
          </w:p>
        </w:tc>
      </w:tr>
    </w:tbl>
    <w:p>
      <w:pPr>
        <w:spacing w:after="80" w:before="80"/>
      </w:pPr>
      <w:r>
        <w:t xml:space="preserve"/>
      </w:r>
    </w:p>
    <w:p>
      <w:pPr>
        <w:spacing w:after="80" w:before="80"/>
      </w:pPr>
      <w:r>
        <w:rPr>
          <w:rFonts w:ascii="Arial" w:cs="Arial" w:eastAsia="Arial" w:hAnsi="Arial"/>
          <w:sz w:val="22"/>
          <w:szCs w:val="22"/>
        </w:rPr>
        <w:t xml:space="preserve">Distributions may be paid monthly, quarterly, or on another agreed schedule, after maintaining adequate cash reserves.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5. Client Ownership</w:t>
      </w:r>
    </w:p>
    <w:p>
      <w:pPr>
        <w:spacing w:after="80" w:before="80"/>
      </w:pPr>
      <w:r>
        <w:rPr>
          <w:rFonts w:ascii="Arial" w:cs="Arial" w:eastAsia="Arial" w:hAnsi="Arial"/>
          <w:sz w:val="22"/>
          <w:szCs w:val="22"/>
        </w:rPr>
        <w:t xml:space="preserve">All clients belong to Delko — not to either individual personally. A client brought in by Jack, Keveen, referral, or any other channel is an agency client. Neither partner may claim personal ownership of a client or move a client outside the agency without written consent from the other.</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6. Decision-Making</w:t>
      </w:r>
    </w:p>
    <w:p>
      <w:pPr>
        <w:spacing w:after="80" w:before="80"/>
      </w:pPr>
      <w:r>
        <w:rPr>
          <w:rFonts w:ascii="Arial" w:cs="Arial" w:eastAsia="Arial" w:hAnsi="Arial"/>
          <w:sz w:val="22"/>
          <w:szCs w:val="22"/>
        </w:rPr>
        <w:t xml:space="preserve">Both partners hold equal voice on major decisions. Day-to-day execution within each lane requires no approval. Major decisions requiring joint agreement:</w:t>
      </w:r>
    </w:p>
    <w:p>
      <w:pPr>
        <w:pStyle w:val="ListParagraph"/>
        <w:numPr>
          <w:ilvl w:val="0"/>
          <w:numId w:val="2"/>
        </w:numPr>
        <w:spacing w:after="60" w:before="60"/>
      </w:pPr>
      <w:r>
        <w:rPr>
          <w:rFonts w:ascii="Arial" w:cs="Arial" w:eastAsia="Arial" w:hAnsi="Arial"/>
          <w:sz w:val="22"/>
          <w:szCs w:val="22"/>
        </w:rPr>
        <w:t xml:space="preserve">Changing ownership percentages</w:t>
      </w:r>
    </w:p>
    <w:p>
      <w:pPr>
        <w:pStyle w:val="ListParagraph"/>
        <w:numPr>
          <w:ilvl w:val="0"/>
          <w:numId w:val="2"/>
        </w:numPr>
        <w:spacing w:after="60" w:before="60"/>
      </w:pPr>
      <w:r>
        <w:rPr>
          <w:rFonts w:ascii="Arial" w:cs="Arial" w:eastAsia="Arial" w:hAnsi="Arial"/>
          <w:sz w:val="22"/>
          <w:szCs w:val="22"/>
        </w:rPr>
        <w:t xml:space="preserve">Taking on debt or significant financial obligations</w:t>
      </w:r>
    </w:p>
    <w:p>
      <w:pPr>
        <w:pStyle w:val="ListParagraph"/>
        <w:numPr>
          <w:ilvl w:val="0"/>
          <w:numId w:val="2"/>
        </w:numPr>
        <w:spacing w:after="60" w:before="60"/>
      </w:pPr>
      <w:r>
        <w:rPr>
          <w:rFonts w:ascii="Arial" w:cs="Arial" w:eastAsia="Arial" w:hAnsi="Arial"/>
          <w:sz w:val="22"/>
          <w:szCs w:val="22"/>
        </w:rPr>
        <w:t xml:space="preserve">Hiring employees or long-term contractors</w:t>
      </w:r>
    </w:p>
    <w:p>
      <w:pPr>
        <w:pStyle w:val="ListParagraph"/>
        <w:numPr>
          <w:ilvl w:val="0"/>
          <w:numId w:val="2"/>
        </w:numPr>
        <w:spacing w:after="60" w:before="60"/>
      </w:pPr>
      <w:r>
        <w:rPr>
          <w:rFonts w:ascii="Arial" w:cs="Arial" w:eastAsia="Arial" w:hAnsi="Arial"/>
          <w:sz w:val="22"/>
          <w:szCs w:val="22"/>
        </w:rPr>
        <w:t xml:space="preserve">Any single business expense above 50</w:t>
      </w:r>
    </w:p>
    <w:p>
      <w:pPr>
        <w:pStyle w:val="ListParagraph"/>
        <w:numPr>
          <w:ilvl w:val="0"/>
          <w:numId w:val="2"/>
        </w:numPr>
        <w:spacing w:after="60" w:before="60"/>
      </w:pPr>
      <w:r>
        <w:rPr>
          <w:rFonts w:ascii="Arial" w:cs="Arial" w:eastAsia="Arial" w:hAnsi="Arial"/>
          <w:sz w:val="22"/>
          <w:szCs w:val="22"/>
        </w:rPr>
        <w:t xml:space="preserve">Changing core packages or pricing structure</w:t>
      </w:r>
    </w:p>
    <w:p>
      <w:pPr>
        <w:pStyle w:val="ListParagraph"/>
        <w:numPr>
          <w:ilvl w:val="0"/>
          <w:numId w:val="2"/>
        </w:numPr>
        <w:spacing w:after="60" w:before="60"/>
      </w:pPr>
      <w:r>
        <w:rPr>
          <w:rFonts w:ascii="Arial" w:cs="Arial" w:eastAsia="Arial" w:hAnsi="Arial"/>
          <w:sz w:val="22"/>
          <w:szCs w:val="22"/>
        </w:rPr>
        <w:t xml:space="preserve">Entering major partnerships or referral arrangements</w:t>
      </w:r>
    </w:p>
    <w:p>
      <w:pPr>
        <w:pStyle w:val="ListParagraph"/>
        <w:numPr>
          <w:ilvl w:val="0"/>
          <w:numId w:val="2"/>
        </w:numPr>
        <w:spacing w:after="60" w:before="60"/>
      </w:pPr>
      <w:r>
        <w:rPr>
          <w:rFonts w:ascii="Arial" w:cs="Arial" w:eastAsia="Arial" w:hAnsi="Arial"/>
          <w:sz w:val="22"/>
          <w:szCs w:val="22"/>
        </w:rPr>
        <w:t xml:space="preserve">Selling or shutting down the agency</w:t>
      </w:r>
    </w:p>
    <w:p>
      <w:pPr>
        <w:spacing w:after="80" w:before="80"/>
      </w:pPr>
      <w:r>
        <w:t xml:space="preserve"/>
      </w:r>
    </w:p>
    <w:p>
      <w:pPr>
        <w:spacing w:after="80" w:before="80"/>
      </w:pPr>
      <w:r>
        <w:rPr>
          <w:rFonts w:ascii="Arial" w:cs="Arial" w:eastAsia="Arial" w:hAnsi="Arial"/>
          <w:sz w:val="22"/>
          <w:szCs w:val="22"/>
        </w:rPr>
        <w:t xml:space="preserve">When partners cannot reach agreement on a major decision, both agree to consult a neutral mediator or advisor before taking action.</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7. 90-Day Contribution Review</w:t>
      </w:r>
    </w:p>
    <w:p>
      <w:pPr>
        <w:spacing w:after="80" w:before="80"/>
      </w:pPr>
      <w:r>
        <w:rPr>
          <w:rFonts w:ascii="Arial" w:cs="Arial" w:eastAsia="Arial" w:hAnsi="Arial"/>
          <w:sz w:val="22"/>
          <w:szCs w:val="22"/>
        </w:rPr>
        <w:t xml:space="preserve">The partners will review the partnership after the first 90 days of active agency work, evaluating execution within each lane: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Keveen’s Lane Metrics</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Jack’s Lane Metrics</w:t>
            </w:r>
          </w:p>
        </w:tc>
      </w:tr>
      <w:tr>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Clients fulfilled and delivered</w:t>
            </w:r>
          </w:p>
        </w:tc>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Businesses researched and contacted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Websites and GBPs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Discovery calls booked</w:t>
            </w:r>
          </w:p>
        </w:tc>
      </w:tr>
      <w:tr>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SOPs and systems built</w:t>
            </w:r>
          </w:p>
        </w:tc>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Proposals sent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Automations / AI workflows created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Clients closed</w:t>
            </w:r>
          </w:p>
        </w:tc>
      </w:tr>
      <w:tr>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Monthly reports delivered</w:t>
            </w:r>
          </w:p>
        </w:tc>
        <w:tc>
          <w:tcPr>
            <w:tcW w:type="dxa" w:w="468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MRR generated from sales</w:t>
            </w:r>
          </w:p>
        </w:tc>
      </w:tr>
    </w:tbl>
    <w:p>
      <w:pPr>
        <w:spacing w:after="80" w:before="80"/>
      </w:pPr>
      <w:r>
        <w:t xml:space="preserve"/>
      </w:r>
    </w:p>
    <w:p>
      <w:pPr>
        <w:spacing w:after="80" w:before="80"/>
      </w:pPr>
      <w:r>
        <w:rPr>
          <w:rFonts w:ascii="Arial" w:cs="Arial" w:eastAsia="Arial" w:hAnsi="Arial"/>
          <w:sz w:val="22"/>
          <w:szCs w:val="22"/>
        </w:rPr>
        <w:t xml:space="preserve">If either partner consistently underperforms in their lane, both parties agree to discuss in good faith. Any structural changes require written agreement from both partners.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8. Expenses</w:t>
      </w:r>
    </w:p>
    <w:p>
      <w:pPr>
        <w:spacing w:after="80" w:before="80"/>
      </w:pPr>
      <w:r>
        <w:rPr>
          <w:rFonts w:ascii="Arial" w:cs="Arial" w:eastAsia="Arial" w:hAnsi="Arial"/>
          <w:sz w:val="22"/>
          <w:szCs w:val="22"/>
        </w:rPr>
        <w:t xml:space="preserve">Business expenses must be reasonable and directly related to agency operations. Any single expense above 50 requires written approval from both partners. No partner may use agency funds for personal expenses.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9. Weekly Operating Rhythm</w:t>
      </w:r>
    </w:p>
    <w:p>
      <w:pPr>
        <w:spacing w:after="80" w:before="80"/>
      </w:pPr>
      <w:r>
        <w:rPr>
          <w:rFonts w:ascii="Arial" w:cs="Arial" w:eastAsia="Arial" w:hAnsi="Arial"/>
          <w:sz w:val="22"/>
          <w:szCs w:val="22"/>
        </w:rPr>
        <w:t xml:space="preserve">Both partners commit to consistent weekly execution. Each week should include a partner sync covering:</w:t>
      </w:r>
    </w:p>
    <w:p>
      <w:pPr>
        <w:pStyle w:val="ListParagraph"/>
        <w:numPr>
          <w:ilvl w:val="0"/>
          <w:numId w:val="2"/>
        </w:numPr>
        <w:spacing w:after="60" w:before="60"/>
      </w:pPr>
      <w:r>
        <w:rPr>
          <w:rFonts w:ascii="Arial" w:cs="Arial" w:eastAsia="Arial" w:hAnsi="Arial"/>
          <w:sz w:val="22"/>
          <w:szCs w:val="22"/>
        </w:rPr>
        <w:t xml:space="preserve">Wins and proof captured</w:t>
      </w:r>
    </w:p>
    <w:p>
      <w:pPr>
        <w:pStyle w:val="ListParagraph"/>
        <w:numPr>
          <w:ilvl w:val="0"/>
          <w:numId w:val="2"/>
        </w:numPr>
        <w:spacing w:after="60" w:before="60"/>
      </w:pPr>
      <w:r>
        <w:rPr>
          <w:rFonts w:ascii="Arial" w:cs="Arial" w:eastAsia="Arial" w:hAnsi="Arial"/>
          <w:sz w:val="22"/>
          <w:szCs w:val="22"/>
        </w:rPr>
        <w:t xml:space="preserve">Sales pipeline: outreach, replies, calls, proposals, closes</w:t>
      </w:r>
    </w:p>
    <w:p>
      <w:pPr>
        <w:pStyle w:val="ListParagraph"/>
        <w:numPr>
          <w:ilvl w:val="0"/>
          <w:numId w:val="2"/>
        </w:numPr>
        <w:spacing w:after="60" w:before="60"/>
      </w:pPr>
      <w:r>
        <w:rPr>
          <w:rFonts w:ascii="Arial" w:cs="Arial" w:eastAsia="Arial" w:hAnsi="Arial"/>
          <w:sz w:val="22"/>
          <w:szCs w:val="22"/>
        </w:rPr>
        <w:t xml:space="preserve">Client delivery: what’s due, blocked, or needs approval</w:t>
      </w:r>
    </w:p>
    <w:p>
      <w:pPr>
        <w:pStyle w:val="ListParagraph"/>
        <w:numPr>
          <w:ilvl w:val="0"/>
          <w:numId w:val="2"/>
        </w:numPr>
        <w:spacing w:after="60" w:before="60"/>
      </w:pPr>
      <w:r>
        <w:rPr>
          <w:rFonts w:ascii="Arial" w:cs="Arial" w:eastAsia="Arial" w:hAnsi="Arial"/>
          <w:sz w:val="22"/>
          <w:szCs w:val="22"/>
        </w:rPr>
        <w:t xml:space="preserve">Revenue and MRR update</w:t>
      </w:r>
    </w:p>
    <w:p>
      <w:pPr>
        <w:pStyle w:val="ListParagraph"/>
        <w:numPr>
          <w:ilvl w:val="0"/>
          <w:numId w:val="2"/>
        </w:numPr>
        <w:spacing w:after="60" w:before="60"/>
      </w:pPr>
      <w:r>
        <w:rPr>
          <w:rFonts w:ascii="Arial" w:cs="Arial" w:eastAsia="Arial" w:hAnsi="Arial"/>
          <w:sz w:val="22"/>
          <w:szCs w:val="22"/>
        </w:rPr>
        <w:t xml:space="preserve">Problems and decisions</w:t>
      </w:r>
    </w:p>
    <w:p>
      <w:pPr>
        <w:pStyle w:val="ListParagraph"/>
        <w:numPr>
          <w:ilvl w:val="0"/>
          <w:numId w:val="2"/>
        </w:numPr>
        <w:spacing w:after="60" w:before="60"/>
      </w:pPr>
      <w:r>
        <w:rPr>
          <w:rFonts w:ascii="Arial" w:cs="Arial" w:eastAsia="Arial" w:hAnsi="Arial"/>
          <w:sz w:val="22"/>
          <w:szCs w:val="22"/>
        </w:rPr>
        <w:t xml:space="preserve">Top 3 commitments for the week with clear owners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10. Intellectual Property and Agency Assets</w:t>
      </w:r>
    </w:p>
    <w:p>
      <w:pPr>
        <w:spacing w:after="80" w:before="80"/>
      </w:pPr>
      <w:r>
        <w:rPr>
          <w:rFonts w:ascii="Arial" w:cs="Arial" w:eastAsia="Arial" w:hAnsi="Arial"/>
          <w:sz w:val="22"/>
          <w:szCs w:val="22"/>
        </w:rPr>
        <w:t xml:space="preserve">All materials created for Delko belong to Delko, including the business name, website, domain names, sales scripts, SOPs, client data, CRM, automations, case studies, and internal documents. Pre-existing materials created by either partner before this Agreement remain that partner’s property unless transferred to the agency in writing. Neither party may copy, sell, or transfer agency assets without written permission from the other.</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11. Confidentiality</w:t>
      </w:r>
    </w:p>
    <w:p>
      <w:pPr>
        <w:spacing w:after="80" w:before="80"/>
      </w:pPr>
      <w:r>
        <w:rPr>
          <w:rFonts w:ascii="Arial" w:cs="Arial" w:eastAsia="Arial" w:hAnsi="Arial"/>
          <w:sz w:val="22"/>
          <w:szCs w:val="22"/>
        </w:rPr>
        <w:t xml:space="preserve">Both parties agree to keep all agency information confidential, including client lists, pricing, revenue, proposals, sales scripts, passwords, and internal strategy. Confidential information may not be shared with outside parties unless required for operations or approved in writing.</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12. Non-Circumvention</w:t>
      </w:r>
    </w:p>
    <w:p>
      <w:pPr>
        <w:spacing w:after="80" w:before="80"/>
      </w:pPr>
      <w:r>
        <w:rPr>
          <w:rFonts w:ascii="Arial" w:cs="Arial" w:eastAsia="Arial" w:hAnsi="Arial"/>
          <w:sz w:val="22"/>
          <w:szCs w:val="22"/>
        </w:rPr>
        <w:t xml:space="preserve">Neither party may bypass Delko to work directly with an agency client, prospect, referral source, or partner for personal profit without written consent from the other. This applies during the partnership and for 12 months after a party exits the agency.</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13. Side Projects and Outside Work</w:t>
      </w:r>
    </w:p>
    <w:p>
      <w:pPr>
        <w:spacing w:after="80" w:before="80"/>
      </w:pPr>
      <w:r>
        <w:rPr>
          <w:rFonts w:ascii="Arial" w:cs="Arial" w:eastAsia="Arial" w:hAnsi="Arial"/>
          <w:sz w:val="22"/>
          <w:szCs w:val="22"/>
        </w:rPr>
        <w:t xml:space="preserve">Both partners may work on outside projects provided those projects do not use agency client lists, agency confidential information, interfere with agency responsibilities, or directly compete for agency clients. Any outside marketing work overlapping with Delko’s services must be disclosed in writing first.</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14. Exit or Removal</w:t>
      </w:r>
    </w:p>
    <w:p>
      <w:pPr>
        <w:spacing w:after="80" w:before="80"/>
      </w:pPr>
      <w:r>
        <w:rPr>
          <w:rFonts w:ascii="Arial" w:cs="Arial" w:eastAsia="Arial" w:hAnsi="Arial"/>
          <w:sz w:val="22"/>
          <w:szCs w:val="22"/>
        </w:rPr>
        <w:t xml:space="preserve">Either partner may exit by providing written notice. Upon exit:</w:t>
      </w:r>
    </w:p>
    <w:p>
      <w:pPr>
        <w:pStyle w:val="ListParagraph"/>
        <w:numPr>
          <w:ilvl w:val="0"/>
          <w:numId w:val="2"/>
        </w:numPr>
        <w:spacing w:after="60" w:before="60"/>
      </w:pPr>
      <w:r>
        <w:rPr>
          <w:rFonts w:ascii="Arial" w:cs="Arial" w:eastAsia="Arial" w:hAnsi="Arial"/>
          <w:sz w:val="22"/>
          <w:szCs w:val="22"/>
        </w:rPr>
        <w:t xml:space="preserve">Earned and unpaid commissions are retained by the departing partner.</w:t>
      </w:r>
    </w:p>
    <w:p>
      <w:pPr>
        <w:pStyle w:val="ListParagraph"/>
        <w:numPr>
          <w:ilvl w:val="0"/>
          <w:numId w:val="2"/>
        </w:numPr>
        <w:spacing w:after="60" w:before="60"/>
      </w:pPr>
      <w:r>
        <w:rPr>
          <w:rFonts w:ascii="Arial" w:cs="Arial" w:eastAsia="Arial" w:hAnsi="Arial"/>
          <w:sz w:val="22"/>
          <w:szCs w:val="22"/>
        </w:rPr>
        <w:t xml:space="preserve">The departing partner may not take clients, confidential information, or agency assets without written consent.</w:t>
      </w:r>
    </w:p>
    <w:p>
      <w:pPr>
        <w:pStyle w:val="ListParagraph"/>
        <w:numPr>
          <w:ilvl w:val="0"/>
          <w:numId w:val="2"/>
        </w:numPr>
        <w:spacing w:after="60" w:before="60"/>
      </w:pPr>
      <w:r>
        <w:rPr>
          <w:rFonts w:ascii="Arial" w:cs="Arial" w:eastAsia="Arial" w:hAnsi="Arial"/>
          <w:sz w:val="22"/>
          <w:szCs w:val="22"/>
        </w:rPr>
        <w:t xml:space="preserve">If no formal LLC operating agreement exists, both parties negotiate a fair exit based on time contributed, revenue generated, clients closed, and assets created.</w:t>
      </w:r>
    </w:p>
    <w:p>
      <w:pPr>
        <w:pStyle w:val="ListParagraph"/>
        <w:numPr>
          <w:ilvl w:val="0"/>
          <w:numId w:val="2"/>
        </w:numPr>
        <w:spacing w:after="60" w:before="60"/>
      </w:pPr>
      <w:r>
        <w:rPr>
          <w:rFonts w:ascii="Arial" w:cs="Arial" w:eastAsia="Arial" w:hAnsi="Arial"/>
          <w:sz w:val="22"/>
          <w:szCs w:val="22"/>
        </w:rPr>
        <w:t xml:space="preserve">If a formal LLC operating agreement is in place, that document governs exit and buyout terms.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15. Dispute Resolution</w:t>
      </w:r>
    </w:p>
    <w:p>
      <w:pPr>
        <w:spacing w:after="80" w:before="80"/>
      </w:pPr>
      <w:r>
        <w:rPr>
          <w:rFonts w:ascii="Arial" w:cs="Arial" w:eastAsia="Arial" w:hAnsi="Arial"/>
          <w:sz w:val="22"/>
          <w:szCs w:val="22"/>
        </w:rPr>
        <w:t xml:space="preserve">If a disagreement arises, both partners first attempt direct conversation. If unresolved, they use a neutral mediator, accountant, attorney, or advisor before pursuing legal action. Both parties agree to act in good faith and protect the agency, its clients, and each other’s reputation during any dispute.</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16. LLC Formation</w:t>
      </w:r>
    </w:p>
    <w:p>
      <w:pPr>
        <w:spacing w:after="80" w:before="80"/>
      </w:pPr>
      <w:r>
        <w:rPr>
          <w:rFonts w:ascii="Arial" w:cs="Arial" w:eastAsia="Arial" w:hAnsi="Arial"/>
          <w:sz w:val="22"/>
          <w:szCs w:val="22"/>
        </w:rPr>
        <w:t xml:space="preserve">This Agreement serves as the working partnership document until Delko is formally registered. Once the agency forms an LLC, both partners agree to update the formal operating agreement to reflect the 50/50 structure in this Agreement, unless both parties agree otherwise in writing.</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17. Entire Agreement</w:t>
      </w:r>
    </w:p>
    <w:p>
      <w:pPr>
        <w:spacing w:after="80" w:before="80"/>
      </w:pPr>
      <w:r>
        <w:rPr>
          <w:rFonts w:ascii="Arial" w:cs="Arial" w:eastAsia="Arial" w:hAnsi="Arial"/>
          <w:sz w:val="22"/>
          <w:szCs w:val="22"/>
        </w:rPr>
        <w:t xml:space="preserve">This Agreement reflects the full understanding between Keveen Delgado and Jack Koutrobis regarding ownership, revenue sharing, roles, clients, and responsibilities for Delko. Any changes must be made in writing and agreed to by both parties.</w:t>
      </w:r>
    </w:p>
    <w:p>
      <w:pPr>
        <w:spacing w:after="80" w:before="80"/>
      </w:pPr>
      <w:r>
        <w:t xml:space="preserve"/>
      </w:r>
    </w:p>
    <w:p>
      <w:pPr>
        <w:pStyle w:val="Heading1"/>
        <w:spacing w:after="160" w:before="320"/>
      </w:pPr>
      <w:r>
        <w:rPr>
          <w:rFonts w:ascii="Arial" w:cs="Arial" w:eastAsia="Arial" w:hAnsi="Arial"/>
          <w:b/>
          <w:bCs/>
          <w:color w:val="1A1A2E"/>
          <w:sz w:val="28"/>
          <w:szCs w:val="28"/>
        </w:rPr>
        <w:t xml:space="preserve">18. Signatures</w:t>
      </w:r>
    </w:p>
    <w:p>
      <w:pPr>
        <w:spacing w:after="80" w:before="80"/>
      </w:pPr>
      <w:r>
        <w:rPr>
          <w:rFonts w:ascii="Arial" w:cs="Arial" w:eastAsia="Arial" w:hAnsi="Arial"/>
          <w:sz w:val="22"/>
          <w:szCs w:val="22"/>
        </w:rPr>
        <w:t xml:space="preserve">By signing below, both partners confirm they have read, understood, and agreed to the terms of this Agreement.</w:t>
      </w:r>
    </w:p>
    <w:p>
      <w:pPr>
        <w:spacing w:after="80" w:before="80"/>
      </w:pPr>
      <w:r>
        <w:t xml:space="preserve"/>
      </w:r>
    </w:p>
    <w:p>
      <w:pPr>
        <w:spacing w:after="40" w:before="200"/>
      </w:pPr>
      <w:r>
        <w:rPr>
          <w:rFonts w:ascii="Arial" w:cs="Arial" w:eastAsia="Arial" w:hAnsi="Arial"/>
          <w:b/>
          <w:bCs/>
          <w:sz w:val="24"/>
          <w:szCs w:val="24"/>
        </w:rPr>
        <w:t xml:space="preserve">Keveen Delgado</w:t>
      </w:r>
    </w:p>
    <w:p>
      <w:pPr>
        <w:spacing w:after="40" w:before="0"/>
      </w:pPr>
      <w:r>
        <w:rPr>
          <w:rFonts w:ascii="Arial" w:cs="Arial" w:eastAsia="Arial" w:hAnsi="Arial"/>
          <w:color w:val="555555"/>
          <w:sz w:val="20"/>
          <w:szCs w:val="20"/>
        </w:rPr>
        <w:t xml:space="preserve">Co-Founder — Technical &amp; Delivery</w:t>
      </w:r>
    </w:p>
    <w:p>
      <w:pPr>
        <w:spacing w:after="40" w:before="80"/>
      </w:pPr>
      <w:r>
        <w:rPr>
          <w:rFonts w:ascii="Arial" w:cs="Arial" w:eastAsia="Arial" w:hAnsi="Arial"/>
          <w:sz w:val="22"/>
          <w:szCs w:val="22"/>
        </w:rPr>
        <w:t xml:space="preserve">Signature: _______________________________</w:t>
      </w:r>
    </w:p>
    <w:p>
      <w:pPr>
        <w:spacing w:after="160" w:before="40"/>
      </w:pPr>
      <w:r>
        <w:rPr>
          <w:rFonts w:ascii="Arial" w:cs="Arial" w:eastAsia="Arial" w:hAnsi="Arial"/>
          <w:sz w:val="22"/>
          <w:szCs w:val="22"/>
        </w:rPr>
        <w:t xml:space="preserve">Date: ___________________</w:t>
      </w:r>
    </w:p>
    <w:p>
      <w:pPr>
        <w:spacing w:after="40" w:before="200"/>
      </w:pPr>
      <w:r>
        <w:rPr>
          <w:rFonts w:ascii="Arial" w:cs="Arial" w:eastAsia="Arial" w:hAnsi="Arial"/>
          <w:b/>
          <w:bCs/>
          <w:sz w:val="24"/>
          <w:szCs w:val="24"/>
        </w:rPr>
        <w:t xml:space="preserve">Jack Koutrobis</w:t>
      </w:r>
    </w:p>
    <w:p>
      <w:pPr>
        <w:spacing w:after="40" w:before="0"/>
      </w:pPr>
      <w:r>
        <w:rPr>
          <w:rFonts w:ascii="Arial" w:cs="Arial" w:eastAsia="Arial" w:hAnsi="Arial"/>
          <w:color w:val="555555"/>
          <w:sz w:val="20"/>
          <w:szCs w:val="20"/>
        </w:rPr>
        <w:t xml:space="preserve">Co-Founder — Sales &amp; Outreach</w:t>
      </w:r>
    </w:p>
    <w:p>
      <w:pPr>
        <w:spacing w:after="40" w:before="80"/>
      </w:pPr>
      <w:r>
        <w:rPr>
          <w:rFonts w:ascii="Arial" w:cs="Arial" w:eastAsia="Arial" w:hAnsi="Arial"/>
          <w:sz w:val="22"/>
          <w:szCs w:val="22"/>
        </w:rPr>
        <w:t xml:space="preserve">Signature: _______________________________</w:t>
      </w:r>
    </w:p>
    <w:p>
      <w:pPr>
        <w:spacing w:after="160" w:before="40"/>
      </w:pPr>
      <w:r>
        <w:rPr>
          <w:rFonts w:ascii="Arial" w:cs="Arial" w:eastAsia="Arial" w:hAnsi="Arial"/>
          <w:sz w:val="22"/>
          <w:szCs w:val="22"/>
        </w:rPr>
        <w:t xml:space="preserve">Date: ___________________</w:t>
      </w:r>
    </w:p>
    <w:p>
      <w:pPr>
        <w:pStyle w:val="Heading1"/>
        <w:pageBreakBefore/>
        <w:spacing w:after="240" w:before="0"/>
      </w:pPr>
      <w:r>
        <w:rPr>
          <w:rFonts w:ascii="Arial" w:cs="Arial" w:eastAsia="Arial" w:hAnsi="Arial"/>
          <w:b/>
          <w:bCs/>
          <w:color w:val="1A1A2E"/>
          <w:sz w:val="28"/>
          <w:szCs w:val="28"/>
        </w:rPr>
        <w:t xml:space="preserve">Exhibit A: Financial Model Summary</w:t>
      </w:r>
    </w:p>
    <w:p>
      <w:pPr>
        <w:spacing w:after="80" w:before="80"/>
      </w:pPr>
      <w:r>
        <w:rPr>
          <w:rFonts w:ascii="Arial" w:cs="Arial" w:eastAsia="Arial" w:hAnsi="Arial"/>
          <w:sz w:val="22"/>
          <w:szCs w:val="22"/>
        </w:rPr>
        <w:t xml:space="preserve">Unless changed in writing, Delko operates under the following financial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2"/>
                <w:szCs w:val="22"/>
              </w:rPr>
              <w:t xml:space="preserve">Ownership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Keveen Delgado: 50%   ·   Jack Koutrobis: 50%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2"/>
                <w:szCs w:val="22"/>
              </w:rPr>
              <w:t xml:space="preserve">Sales Commission</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50% of setup fee to closing partner + 10% of MRR for first 6 months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2"/>
                <w:szCs w:val="22"/>
              </w:rPr>
              <w:t xml:space="preserve">Profit Split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 Keveen / 50% Jack after commissions, fulfillment, expenses, reserves, and taxes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2"/>
                <w:szCs w:val="22"/>
              </w:rPr>
              <w:t xml:space="preserve">Expense Approval</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Any single expense above 50 requires written approval from both partners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2"/>
                <w:szCs w:val="22"/>
              </w:rPr>
              <w:t xml:space="preserve">90-Day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Ownership and roles reviewed after first 90 days of active work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2"/>
                <w:szCs w:val="22"/>
              </w:rPr>
              <w:t xml:space="preserve">Distribution Schedule</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Monthly or quarterly, as agreed by both partners</w:t>
            </w:r>
          </w:p>
        </w:tc>
      </w:tr>
    </w:tbl>
    <w:p>
      <w:pPr>
        <w:spacing w:after="80" w:before="80"/>
      </w:pPr>
      <w:r>
        <w:t xml:space="preserve"/>
      </w:r>
    </w:p>
    <w:p>
      <w:pPr>
        <w:spacing w:after="80" w:before="80"/>
      </w:pPr>
      <w:r>
        <w:t xml:space="preserve"/>
      </w:r>
    </w:p>
    <w:p>
      <w:pPr>
        <w:pStyle w:val="Heading1"/>
        <w:spacing w:after="160" w:before="240"/>
      </w:pPr>
      <w:r>
        <w:rPr>
          <w:rFonts w:ascii="Arial" w:cs="Arial" w:eastAsia="Arial" w:hAnsi="Arial"/>
          <w:b/>
          <w:bCs/>
          <w:color w:val="1A1A2E"/>
          <w:sz w:val="28"/>
          <w:szCs w:val="28"/>
        </w:rPr>
        <w:t xml:space="preserve">Exhibit B: Example Revenue Breakdown</w:t>
      </w:r>
    </w:p>
    <w:p>
      <w:pPr>
        <w:spacing w:after="80" w:before="80"/>
      </w:pPr>
      <w:r>
        <w:rPr>
          <w:rFonts w:ascii="Arial" w:cs="Arial" w:eastAsia="Arial" w:hAnsi="Arial"/>
          <w:sz w:val="22"/>
          <w:szCs w:val="22"/>
        </w:rPr>
        <w:t xml:space="preserve">Example: A client pays a $1,500 setup fee and $1,000/month retainer.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Jack Closes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Keveen Closes</w:t>
            </w:r>
          </w:p>
        </w:tc>
      </w:tr>
      <w:tr>
        <w:tc>
          <w:tcPr>
            <w:tcW w:type="dxa" w:w="312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Setup commission</w:t>
            </w:r>
          </w:p>
        </w:tc>
        <w:tc>
          <w:tcPr>
            <w:tcW w:type="dxa" w:w="312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$750 to Jack</w:t>
            </w:r>
          </w:p>
        </w:tc>
        <w:tc>
          <w:tcPr>
            <w:tcW w:type="dxa" w:w="312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$750 to Keveen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Monthly commission (6 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$100/mo to Jack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$100/mo to Keveen</w:t>
            </w:r>
          </w:p>
        </w:tc>
      </w:tr>
      <w:tr>
        <w:tc>
          <w:tcPr>
            <w:tcW w:type="dxa" w:w="312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Remaining revenue</w:t>
            </w:r>
          </w:p>
        </w:tc>
        <w:tc>
          <w:tcPr>
            <w:tcW w:type="dxa" w:w="312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Fulfillment, expenses, reserves, then 50/50 profit</w:t>
            </w:r>
          </w:p>
        </w:tc>
        <w:tc>
          <w:tcPr>
            <w:tcW w:type="dxa" w:w="312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2"/>
                <w:szCs w:val="22"/>
              </w:rPr>
              <w:t xml:space="preserve">Fulfillment, expenses, reserves, then 50/50 profit</w:t>
            </w:r>
          </w:p>
        </w:tc>
      </w:tr>
    </w:tbl>
    <w:p>
      <w:pPr>
        <w:spacing w:after="80" w:before="80"/>
      </w:pPr>
      <w:r>
        <w:t xml:space="preserve"/>
      </w:r>
    </w:p>
    <w:p>
      <w:pPr>
        <w:spacing w:after="80" w:before="80"/>
      </w:pPr>
      <w:r>
        <w:t xml:space="preserve"/>
      </w:r>
    </w:p>
    <w:p>
      <w:pPr>
        <w:pStyle w:val="Heading1"/>
        <w:spacing w:after="160" w:before="240"/>
      </w:pPr>
      <w:r>
        <w:rPr>
          <w:rFonts w:ascii="Arial" w:cs="Arial" w:eastAsia="Arial" w:hAnsi="Arial"/>
          <w:b/>
          <w:bCs/>
          <w:color w:val="1A1A2E"/>
          <w:sz w:val="28"/>
          <w:szCs w:val="28"/>
        </w:rPr>
        <w:t xml:space="preserve">Exhibit C: 90-Day Contribution Scorecard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2000"/>
        <w:gridCol w:w="1600"/>
      </w:tblGrid>
      <w:tr>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Keveen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Jack</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Websites / GBPs delivered</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SOPs and systems 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Automations / AI workflows built</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Businesses researched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Outreach messages sent</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 calls booked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Proposals sent</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MRR generated</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satisfaction (1-10)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Weekly tasks completed</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reliability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Overall contribution</w:t>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2026-05-11T15:40:53.266Z</dcterms:created>
  <dcterms:modified xsi:type="dcterms:W3CDTF">2026-05-11T15:40:53.267Z</dcterms:modified>
</cp:coreProperties>
</file>

<file path=docProps/custom.xml><?xml version="1.0" encoding="utf-8"?>
<Properties xmlns="http://schemas.openxmlformats.org/officeDocument/2006/custom-properties" xmlns:vt="http://schemas.openxmlformats.org/officeDocument/2006/docPropsVTypes"/>
</file>