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C5AC3" w14:textId="77777777" w:rsidR="000B5894" w:rsidRDefault="000B5894">
      <w:pPr>
        <w:spacing w:line="360" w:lineRule="auto"/>
        <w:ind w:hanging="142"/>
        <w:jc w:val="center"/>
        <w:rPr>
          <w:rFonts w:ascii="Arial" w:eastAsia="Arial" w:hAnsi="Arial" w:cs="Arial"/>
          <w:sz w:val="36"/>
          <w:szCs w:val="36"/>
        </w:rPr>
      </w:pPr>
    </w:p>
    <w:p w14:paraId="3532D05E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sz w:val="36"/>
          <w:szCs w:val="36"/>
        </w:rPr>
      </w:pPr>
    </w:p>
    <w:p w14:paraId="797084B4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sz w:val="36"/>
          <w:szCs w:val="36"/>
        </w:rPr>
      </w:pPr>
    </w:p>
    <w:p w14:paraId="6C9FF66F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sz w:val="36"/>
          <w:szCs w:val="36"/>
        </w:rPr>
      </w:pPr>
    </w:p>
    <w:p w14:paraId="4FBDE2B4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sz w:val="36"/>
          <w:szCs w:val="36"/>
        </w:rPr>
      </w:pPr>
    </w:p>
    <w:p w14:paraId="42AF0043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sz w:val="36"/>
          <w:szCs w:val="36"/>
        </w:rPr>
      </w:pPr>
    </w:p>
    <w:p w14:paraId="4EA9E142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sz w:val="36"/>
          <w:szCs w:val="36"/>
        </w:rPr>
      </w:pPr>
    </w:p>
    <w:p w14:paraId="66336F6D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sz w:val="36"/>
          <w:szCs w:val="36"/>
        </w:rPr>
      </w:pPr>
    </w:p>
    <w:p w14:paraId="5E468941" w14:textId="77777777" w:rsidR="000B5894" w:rsidRDefault="00000000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36"/>
          <w:szCs w:val="36"/>
        </w:rPr>
        <w:t>Análise estratégica de mercado para pequenos negócios</w:t>
      </w:r>
    </w:p>
    <w:p w14:paraId="530C6897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E154ADD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1E5CA3E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78C6AB6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0E6BF2E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F41133C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2E8BE899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866FC8A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1F3147F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5662839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B21F59D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0D858E1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6D6AF91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51A2304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6BE4C63" w14:textId="77777777" w:rsidR="000B5894" w:rsidRDefault="000B5894">
      <w:pPr>
        <w:spacing w:line="360" w:lineRule="auto"/>
        <w:ind w:firstLine="36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10490" w:type="dxa"/>
        <w:tblInd w:w="-289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6804"/>
      </w:tblGrid>
      <w:tr w:rsidR="000B5894" w14:paraId="3A785503" w14:textId="77777777">
        <w:trPr>
          <w:trHeight w:val="362"/>
        </w:trPr>
        <w:tc>
          <w:tcPr>
            <w:tcW w:w="10490" w:type="dxa"/>
            <w:gridSpan w:val="2"/>
            <w:vAlign w:val="center"/>
          </w:tcPr>
          <w:p w14:paraId="3D853613" w14:textId="77777777" w:rsidR="000B5894" w:rsidRDefault="00000000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DADOS DO PROJETO</w:t>
            </w:r>
          </w:p>
        </w:tc>
      </w:tr>
      <w:tr w:rsidR="000B5894" w14:paraId="2A331ADF" w14:textId="77777777">
        <w:tc>
          <w:tcPr>
            <w:tcW w:w="3686" w:type="dxa"/>
            <w:shd w:val="clear" w:color="auto" w:fill="auto"/>
            <w:vAlign w:val="center"/>
          </w:tcPr>
          <w:p w14:paraId="35623353" w14:textId="77777777" w:rsidR="000B5894" w:rsidRDefault="00000000">
            <w:r>
              <w:rPr>
                <w:rFonts w:ascii="Arial" w:eastAsia="Arial" w:hAnsi="Arial" w:cs="Arial"/>
                <w:b/>
                <w:sz w:val="16"/>
                <w:szCs w:val="16"/>
              </w:rPr>
              <w:t>INSTITUIÇÃO DE ENSINO SUPERIOR: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357CBD3" w14:textId="77777777" w:rsidR="000B5894" w:rsidRDefault="00000000">
            <w:proofErr w:type="spellStart"/>
            <w:r>
              <w:t>Uninassau</w:t>
            </w:r>
            <w:proofErr w:type="spellEnd"/>
          </w:p>
        </w:tc>
      </w:tr>
      <w:tr w:rsidR="000B5894" w14:paraId="6582139A" w14:textId="77777777">
        <w:tc>
          <w:tcPr>
            <w:tcW w:w="3686" w:type="dxa"/>
            <w:shd w:val="clear" w:color="auto" w:fill="auto"/>
            <w:vAlign w:val="center"/>
          </w:tcPr>
          <w:p w14:paraId="059A9FDA" w14:textId="77777777" w:rsidR="000B5894" w:rsidRDefault="00000000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DISCIPLINA: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7F32293" w14:textId="77777777" w:rsidR="000B5894" w:rsidRDefault="00000000">
            <w:r>
              <w:t>Atividades Práticas Interdisciplinares de Extensão I</w:t>
            </w:r>
          </w:p>
        </w:tc>
      </w:tr>
      <w:tr w:rsidR="000B5894" w14:paraId="7B69188B" w14:textId="77777777">
        <w:tc>
          <w:tcPr>
            <w:tcW w:w="3686" w:type="dxa"/>
          </w:tcPr>
          <w:p w14:paraId="4A36EF9C" w14:textId="77777777" w:rsidR="000B5894" w:rsidRDefault="00000000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CURSO(S) PROPONENTE(S):</w:t>
            </w:r>
          </w:p>
        </w:tc>
        <w:tc>
          <w:tcPr>
            <w:tcW w:w="6804" w:type="dxa"/>
          </w:tcPr>
          <w:p w14:paraId="38930665" w14:textId="77777777" w:rsidR="000B5894" w:rsidRDefault="00000000">
            <w:r>
              <w:t>Análise e desenvolvimento de sistemas</w:t>
            </w:r>
          </w:p>
        </w:tc>
      </w:tr>
      <w:tr w:rsidR="000B5894" w14:paraId="3F07DF56" w14:textId="77777777">
        <w:tc>
          <w:tcPr>
            <w:tcW w:w="3686" w:type="dxa"/>
          </w:tcPr>
          <w:p w14:paraId="09DF941F" w14:textId="77777777" w:rsidR="000B5894" w:rsidRDefault="00000000">
            <w:r>
              <w:rPr>
                <w:rFonts w:ascii="Arial" w:eastAsia="Arial" w:hAnsi="Arial" w:cs="Arial"/>
                <w:b/>
                <w:sz w:val="16"/>
                <w:szCs w:val="16"/>
              </w:rPr>
              <w:t>ÁREA TEMÁTICA:</w:t>
            </w:r>
          </w:p>
        </w:tc>
        <w:tc>
          <w:tcPr>
            <w:tcW w:w="6804" w:type="dxa"/>
          </w:tcPr>
          <w:p w14:paraId="6142140B" w14:textId="77777777" w:rsidR="000B5894" w:rsidRDefault="00000000">
            <w:r>
              <w:t>Tecnologia</w:t>
            </w:r>
          </w:p>
        </w:tc>
      </w:tr>
      <w:tr w:rsidR="000B5894" w14:paraId="2BCB0AE8" w14:textId="77777777">
        <w:tc>
          <w:tcPr>
            <w:tcW w:w="3686" w:type="dxa"/>
            <w:vAlign w:val="center"/>
          </w:tcPr>
          <w:p w14:paraId="2C0FAAF4" w14:textId="77777777" w:rsidR="000B5894" w:rsidRDefault="00000000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DISCENTES RESPONSÁVEIS:</w:t>
            </w:r>
          </w:p>
          <w:p w14:paraId="701E1BC5" w14:textId="77777777" w:rsidR="000B5894" w:rsidRDefault="00000000">
            <w:r>
              <w:rPr>
                <w:rFonts w:ascii="Arial" w:eastAsia="Arial" w:hAnsi="Arial" w:cs="Arial"/>
                <w:sz w:val="16"/>
                <w:szCs w:val="16"/>
              </w:rPr>
              <w:t>(nome e matrícula)</w:t>
            </w:r>
          </w:p>
        </w:tc>
        <w:tc>
          <w:tcPr>
            <w:tcW w:w="6804" w:type="dxa"/>
          </w:tcPr>
          <w:p w14:paraId="6DFBDD6D" w14:textId="0EE55F58" w:rsidR="006550CE" w:rsidRDefault="006550CE" w:rsidP="006550CE">
            <w:pPr>
              <w:tabs>
                <w:tab w:val="left" w:pos="2310"/>
              </w:tabs>
            </w:pPr>
            <w:r>
              <w:t xml:space="preserve">Arthur santos de </w:t>
            </w:r>
            <w:r w:rsidR="00781BDC">
              <w:t>M</w:t>
            </w:r>
            <w:r>
              <w:t>acedo -01722254</w:t>
            </w:r>
          </w:p>
          <w:p w14:paraId="726AA205" w14:textId="77777777" w:rsidR="006550CE" w:rsidRDefault="006550CE" w:rsidP="006550CE">
            <w:pPr>
              <w:tabs>
                <w:tab w:val="left" w:pos="2310"/>
              </w:tabs>
            </w:pPr>
            <w:r>
              <w:t>Ayrton Senna Sabino da Costa- 01647930</w:t>
            </w:r>
          </w:p>
          <w:p w14:paraId="7FD68ABB" w14:textId="77777777" w:rsidR="006550CE" w:rsidRDefault="006550CE" w:rsidP="006550CE">
            <w:pPr>
              <w:tabs>
                <w:tab w:val="left" w:pos="2310"/>
              </w:tabs>
            </w:pPr>
            <w:r>
              <w:t>Camila Marques Vieira de Morais- 01742843</w:t>
            </w:r>
          </w:p>
          <w:p w14:paraId="64951DF2" w14:textId="37E498E5" w:rsidR="006550CE" w:rsidRDefault="006550CE" w:rsidP="006550CE">
            <w:pPr>
              <w:tabs>
                <w:tab w:val="left" w:pos="2310"/>
              </w:tabs>
            </w:pPr>
            <w:r>
              <w:t xml:space="preserve">David </w:t>
            </w:r>
            <w:r w:rsidR="00781BDC">
              <w:t>A</w:t>
            </w:r>
            <w:r>
              <w:t>ntony Luiz da Silva- 01651819</w:t>
            </w:r>
          </w:p>
          <w:p w14:paraId="47AAAA0D" w14:textId="77777777" w:rsidR="006550CE" w:rsidRDefault="006550CE" w:rsidP="006550CE">
            <w:pPr>
              <w:tabs>
                <w:tab w:val="left" w:pos="2310"/>
              </w:tabs>
            </w:pPr>
            <w:proofErr w:type="spellStart"/>
            <w:r>
              <w:t>Enos</w:t>
            </w:r>
            <w:proofErr w:type="spellEnd"/>
            <w:r>
              <w:t xml:space="preserve"> bezerra de souza-01709083</w:t>
            </w:r>
          </w:p>
          <w:p w14:paraId="794A8617" w14:textId="07CD9809" w:rsidR="006550CE" w:rsidRDefault="006550CE" w:rsidP="006550CE">
            <w:pPr>
              <w:tabs>
                <w:tab w:val="left" w:pos="2310"/>
              </w:tabs>
            </w:pPr>
            <w:proofErr w:type="spellStart"/>
            <w:r>
              <w:t>Johnathan</w:t>
            </w:r>
            <w:proofErr w:type="spellEnd"/>
            <w:r>
              <w:t xml:space="preserve"> Robert </w:t>
            </w:r>
            <w:r w:rsidR="00781BDC">
              <w:t>D</w:t>
            </w:r>
            <w:r>
              <w:t>umaresq pereira- 01695321</w:t>
            </w:r>
          </w:p>
          <w:p w14:paraId="3B072A99" w14:textId="77777777" w:rsidR="006550CE" w:rsidRDefault="006550CE" w:rsidP="006550CE">
            <w:pPr>
              <w:tabs>
                <w:tab w:val="left" w:pos="2310"/>
              </w:tabs>
            </w:pPr>
            <w:r>
              <w:t>Jonas Felipe Dantas Segundo Guimarães -01720927</w:t>
            </w:r>
          </w:p>
          <w:p w14:paraId="1CFA0E5E" w14:textId="77777777" w:rsidR="006550CE" w:rsidRDefault="006550CE" w:rsidP="006550CE">
            <w:pPr>
              <w:tabs>
                <w:tab w:val="left" w:pos="2310"/>
              </w:tabs>
            </w:pPr>
            <w:proofErr w:type="spellStart"/>
            <w:r>
              <w:t>Kildey</w:t>
            </w:r>
            <w:proofErr w:type="spellEnd"/>
            <w:r>
              <w:t xml:space="preserve"> Ruan </w:t>
            </w:r>
            <w:proofErr w:type="spellStart"/>
            <w:r>
              <w:t>Leonez</w:t>
            </w:r>
            <w:proofErr w:type="spellEnd"/>
            <w:r>
              <w:t xml:space="preserve"> de Lima- 01685190</w:t>
            </w:r>
          </w:p>
          <w:p w14:paraId="4005FD5F" w14:textId="77777777" w:rsidR="006550CE" w:rsidRDefault="006550CE" w:rsidP="006550CE">
            <w:pPr>
              <w:tabs>
                <w:tab w:val="left" w:pos="2310"/>
              </w:tabs>
            </w:pPr>
            <w:r>
              <w:t>Nicolas França Castro Rosa - 01715574</w:t>
            </w:r>
          </w:p>
          <w:p w14:paraId="40D5FB74" w14:textId="77777777" w:rsidR="006550CE" w:rsidRDefault="006550CE" w:rsidP="006550CE">
            <w:pPr>
              <w:tabs>
                <w:tab w:val="left" w:pos="2310"/>
              </w:tabs>
            </w:pPr>
            <w:proofErr w:type="spellStart"/>
            <w:r>
              <w:t>Rharyson</w:t>
            </w:r>
            <w:proofErr w:type="spellEnd"/>
            <w:r>
              <w:t xml:space="preserve"> Silva- 01706975</w:t>
            </w:r>
          </w:p>
          <w:p w14:paraId="4E1C3932" w14:textId="13BC9D29" w:rsidR="000B5894" w:rsidRDefault="006550CE" w:rsidP="006550CE">
            <w:pPr>
              <w:tabs>
                <w:tab w:val="left" w:pos="2310"/>
              </w:tabs>
            </w:pPr>
            <w:r>
              <w:t>Samuel Dion de Berto Gomes- 01720760</w:t>
            </w:r>
          </w:p>
        </w:tc>
      </w:tr>
      <w:tr w:rsidR="000B5894" w14:paraId="3AC77EF1" w14:textId="77777777">
        <w:tc>
          <w:tcPr>
            <w:tcW w:w="3686" w:type="dxa"/>
            <w:vAlign w:val="center"/>
          </w:tcPr>
          <w:p w14:paraId="276E34A8" w14:textId="77777777" w:rsidR="000B5894" w:rsidRDefault="00000000">
            <w:r>
              <w:rPr>
                <w:rFonts w:ascii="Arial" w:eastAsia="Arial" w:hAnsi="Arial" w:cs="Arial"/>
                <w:b/>
                <w:sz w:val="16"/>
                <w:szCs w:val="16"/>
              </w:rPr>
              <w:t>QUANTIDADES DE ALUNOS NO PROJETO</w:t>
            </w:r>
          </w:p>
        </w:tc>
        <w:tc>
          <w:tcPr>
            <w:tcW w:w="6804" w:type="dxa"/>
          </w:tcPr>
          <w:p w14:paraId="49E6EAB8" w14:textId="1F06AB0E" w:rsidR="000B5894" w:rsidRDefault="00000000">
            <w:r>
              <w:t>1</w:t>
            </w:r>
            <w:r w:rsidR="006550CE">
              <w:t>1</w:t>
            </w:r>
          </w:p>
        </w:tc>
      </w:tr>
    </w:tbl>
    <w:p w14:paraId="125DC52F" w14:textId="77777777" w:rsidR="000B5894" w:rsidRDefault="000B589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pPr w:leftFromText="141" w:rightFromText="141" w:vertAnchor="text" w:tblpX="-289" w:tblpY="244"/>
        <w:tblW w:w="10627" w:type="dxa"/>
        <w:tblInd w:w="0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10627"/>
      </w:tblGrid>
      <w:tr w:rsidR="000B5894" w14:paraId="3E8FACEA" w14:textId="77777777">
        <w:trPr>
          <w:trHeight w:val="271"/>
        </w:trPr>
        <w:tc>
          <w:tcPr>
            <w:tcW w:w="10627" w:type="dxa"/>
          </w:tcPr>
          <w:p w14:paraId="3262698D" w14:textId="77777777" w:rsidR="000B58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Introdução:</w:t>
            </w:r>
          </w:p>
          <w:p w14:paraId="04781906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análise estratégica de mercado é essencial para qualquer negócio que busca entender o ambiente competitivo, identificar oportunidades e desafios, e tomar decisões informadas para alcançar o sucesso. Para pequenos negócios, essa análise é ainda mais crucial devido à necessidade de se destacar em um mercado competitivo e dinâmico, muitas vezes com recursos limitados. A tecnologia desempenha um papel fundamental nesse processo, oferecendo ferramentas que tornam a análise de mercado mais acessível e eficaz.</w:t>
            </w:r>
          </w:p>
          <w:p w14:paraId="0E64A3A5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45E6A7B7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avanço tecnológico democratizou o acesso a dados e insights detalhados que antes eram exclusivos de grandes corporações. Ferramentas como Google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Analytics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proporcionam uma visão aprofundada do comportamento online dos consumidores, permitindo que pequenas empresas compreendam como seus clientes interagem com seus produtos ou serviços e ajustem suas estratégias de marketing de forma precisa. Além disso, plataformas de monitoramento de concorrência, como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SEMrush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SimilarWeb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permitem acompanhar as atividades dos concorrentes e identificar lacunas a serem exploradas, ajudando a posicionar produtos e serviços de maneira competitiva.</w:t>
            </w:r>
          </w:p>
          <w:p w14:paraId="3CBCE8DA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363DD713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Softwares de CRM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Customer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Relationship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Management), como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HubSpot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Zoho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CRM, facilitam o gerenciamento das interações com clientes, permitindo a criação de campanhas de marketing personalizadas e altamente segmentadas. Isso resulta em um engajamento mais profundo e em uma maior probabilidade de conversão. Além disso, ferramentas de automação de marketing, como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Mailchimp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economizam tempo e melhoram a eficácia das campanhas, fornecendo dados detalhados sobre o desempenho de cada ação.</w:t>
            </w:r>
          </w:p>
          <w:p w14:paraId="7D70D29C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6C4C9B49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monitoramento das redes sociais com ferramentas como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Hootsuite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Sprout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Social permite que os pequenos negócios acompanhem o engajamento do público e ajustem suas estratégias de comunicação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em tempo real, respondendo rapidamente às mudanças no comportamento dos consumidores. Isso é crucial para manter a relevância e a eficácia das estratégias de marketing.</w:t>
            </w:r>
          </w:p>
          <w:p w14:paraId="51EE4005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3C1AED70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integração da inteligência artificial (IA) e big data também oferece previsões precisas e insights acionáveis, ajudando pequenos negócios a antecipar tendências e se preparar para o futuro.</w:t>
            </w:r>
          </w:p>
          <w:p w14:paraId="7013B18F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Essas tecnologias não apenas aprimoram a análise de mercado, mas também possibilitam decisões baseadas em dados robustos.</w:t>
            </w:r>
          </w:p>
        </w:tc>
      </w:tr>
    </w:tbl>
    <w:p w14:paraId="28E9717D" w14:textId="77777777" w:rsidR="000B5894" w:rsidRDefault="000B5894">
      <w:pPr>
        <w:rPr>
          <w:rFonts w:ascii="Arial" w:eastAsia="Arial" w:hAnsi="Arial" w:cs="Arial"/>
          <w:b/>
        </w:rPr>
      </w:pPr>
    </w:p>
    <w:p w14:paraId="1EB39224" w14:textId="77777777" w:rsidR="000B5894" w:rsidRDefault="000B5894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10632" w:type="dxa"/>
        <w:tblInd w:w="-289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10632"/>
      </w:tblGrid>
      <w:tr w:rsidR="000B5894" w14:paraId="1B55ADC0" w14:textId="77777777">
        <w:trPr>
          <w:trHeight w:val="271"/>
        </w:trPr>
        <w:tc>
          <w:tcPr>
            <w:tcW w:w="10632" w:type="dxa"/>
          </w:tcPr>
          <w:p w14:paraId="69FA3EBA" w14:textId="77777777" w:rsidR="000B58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Objetivo:</w:t>
            </w:r>
          </w:p>
          <w:p w14:paraId="404542A2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  <w:p w14:paraId="3C1A0B42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as principais ferramentas tecnológicas que podem ser utilizadas por pequenos negócios na análise estratégica de mercado.</w:t>
            </w:r>
          </w:p>
          <w:p w14:paraId="4E2EA49D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</w:p>
          <w:p w14:paraId="6E6DF95E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Avaliar a eficácia dessas ferramentas na coleta e análise de dados de mercado para pequenos negócios.</w:t>
            </w:r>
          </w:p>
          <w:p w14:paraId="0C047F4A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23940257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Analisar como a utilização de tecnologia pode melhorar a tomada de decisões estratégicas para pequenos negócios.</w:t>
            </w:r>
          </w:p>
          <w:p w14:paraId="002A8FE3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7BDEA77E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Explorar as melhores práticas para integrar ferramentas tecnológicas nas operações diárias de pequenos negócios.</w:t>
            </w:r>
          </w:p>
          <w:p w14:paraId="27CC772D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6A04B883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Determinar os desafios enfrentados por pequenos negócios ao adotar tecnologias para análise de mercado e desenvolver soluções para superá-los.</w:t>
            </w:r>
          </w:p>
          <w:p w14:paraId="52275826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4A6D8C7C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 Comparar os resultados obtidos por pequenos negócios que utilizam tecnologias avançadas com aqueles que não utilizam, destacando as vantagens e desvantagens.</w:t>
            </w:r>
          </w:p>
          <w:p w14:paraId="67B3535A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65918985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7. Desenvolver recomendações para a implementação eficaz de tecnologias na análise estratégica de mercado para pequenos negócios.</w:t>
            </w:r>
          </w:p>
        </w:tc>
      </w:tr>
      <w:tr w:rsidR="000B5894" w14:paraId="6349F1AC" w14:textId="77777777">
        <w:trPr>
          <w:trHeight w:val="271"/>
        </w:trPr>
        <w:tc>
          <w:tcPr>
            <w:tcW w:w="10632" w:type="dxa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</w:tcPr>
          <w:p w14:paraId="40F770F2" w14:textId="77777777" w:rsidR="000B58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Caracterização da área:</w:t>
            </w:r>
          </w:p>
          <w:p w14:paraId="6FB4D7B7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Social: </w:t>
            </w:r>
          </w:p>
          <w:p w14:paraId="07C48597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Natal, a maior cidade do Rio Grande do Norte, conta com uma população de aproximadamente 890.480 mil habitantes. A cidade é caracterizada por uma diversidade socioeconômica, com uma mistura de diferentes origens e classes sociais. A zona norte, a mais populosa e com alta densidade habitacional, enfrenta desafios significativos em termos de infraestrutura e acesso a serviços essenciais. Em contraste, a zona sul é mais desenvolvida e mais bem equipada. Em termos de educação, o nível é variado, com uma parte significativa da população tendo apenas ensino médio completo. Isso reflete um desafio na qualificação profissional, o que pode impactar a qualidade da mão-de-obra disponível para pequenos negócios. A disparidade socioeconômica entre as zonas sul e norte é marcante, com a zona sul apresentando melhores condições de vida em comparação com a zona norte. </w:t>
            </w:r>
          </w:p>
          <w:p w14:paraId="194599F2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E2F9336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Cultural:</w:t>
            </w:r>
          </w:p>
          <w:p w14:paraId="222F3E3C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Natal possui uma rica herança cultural, refletida em festas tradicionais como o Carnaval e o São João, que movimentam o comércio local. A cultura nordestina, com suas músicas, danças e culinária, influencia os hábitos de consumo. Como uma cidade turística, conhecida pelas praias e pelo Forte dos Reis Magos, Natal atrai turistas nacionais e internacionais, o que beneficia especialmente o comércio em áreas turísticas como Ponta Negra. A culinária típica, com pratos como ginga com tapioca e carne de sol, é um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atrativo para moradores e visitantes, e pequenos comércios que investem em produtos locais têm maior potencial de destaque.</w:t>
            </w:r>
          </w:p>
          <w:p w14:paraId="09733F72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5559C02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Econômico:</w:t>
            </w:r>
          </w:p>
          <w:p w14:paraId="604EB6EA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turismo é um dos principais motores econômicos de Natal, complementado pelo comércio e pelos serviços. A informalidade é elevada, especialmente em áreas menos desenvolvidas. Pequenos negócios predominam, principalmente em bairros mais afastados do centro, e enfrentam desafios como a concorrência com grandes redes e a dificuldade de acesso a crédito. Embora a infraestrutura da cidade seja razoável, com acessos rodoviários e portuários adequados, a logística pode ser um desafio para pequenos negócios, especialmente para aqueles que dependem de insumos de fora do estado.</w:t>
            </w:r>
          </w:p>
          <w:p w14:paraId="46CC2612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0DD4C12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Geográfico:</w:t>
            </w:r>
          </w:p>
          <w:p w14:paraId="64BC059C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Natal está localizada na costa nordeste do Brasil, com uma geografia que inclui dunas e o rio Potengi. A cidade possui um clima tropical, caracterizado por temperaturas altas e alta umidade durante o ano todo. Esse clima favorece atividades ao ar livre e negócios relacionados ao turismo e à gastronomia. No entanto, a sazonalidade pode afetar o fluxo de clientes durante períodos de baixa temporada. A cidade é dividida em quatro zonas (Norte, Sul, Leste e Oeste), sendo a zona sul a mais desenvolvida e concentrando a maior parte das atividades comerciais e turísticas.</w:t>
            </w:r>
          </w:p>
          <w:p w14:paraId="1C301EEB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D1EF0C3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Ambiental:</w:t>
            </w:r>
          </w:p>
          <w:p w14:paraId="27076F6A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Natal enfrenta uma crescente preocupação com a sustentabilidade ambiental. Pequenos negócios que adotam práticas ecológicas, como o uso de embalagens recicláveis e a venda de produtos orgânicos, estão em ascensão. A cidade é rica em recursos naturais, como áreas de preservação que atraem turistas, e sua preservação é crucial para manter o fluxo turístico e o sucesso dos comércios locais. No entanto, desafios como a gestão de resíduos e o saneamento básico ainda impactam a qualidade de vida e as operações comerciais, especialmente nas áreas periféricas.</w:t>
            </w:r>
          </w:p>
        </w:tc>
      </w:tr>
    </w:tbl>
    <w:p w14:paraId="26C94E38" w14:textId="77777777" w:rsidR="000B5894" w:rsidRDefault="000B5894">
      <w:pPr>
        <w:rPr>
          <w:rFonts w:ascii="Arial" w:eastAsia="Arial" w:hAnsi="Arial" w:cs="Arial"/>
          <w:b/>
          <w:sz w:val="24"/>
          <w:szCs w:val="24"/>
        </w:rPr>
      </w:pPr>
    </w:p>
    <w:p w14:paraId="13CA820E" w14:textId="77777777" w:rsidR="000B5894" w:rsidRDefault="000B5894">
      <w:pPr>
        <w:rPr>
          <w:rFonts w:ascii="Arial" w:eastAsia="Arial" w:hAnsi="Arial" w:cs="Arial"/>
          <w:b/>
        </w:rPr>
      </w:pPr>
    </w:p>
    <w:tbl>
      <w:tblPr>
        <w:tblStyle w:val="a2"/>
        <w:tblpPr w:leftFromText="141" w:rightFromText="141" w:vertAnchor="text" w:tblpX="-289" w:tblpY="72"/>
        <w:tblW w:w="10627" w:type="dxa"/>
        <w:tblInd w:w="0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10627"/>
      </w:tblGrid>
      <w:tr w:rsidR="000B5894" w14:paraId="0BAA9AC7" w14:textId="77777777">
        <w:trPr>
          <w:trHeight w:val="416"/>
        </w:trPr>
        <w:tc>
          <w:tcPr>
            <w:tcW w:w="10627" w:type="dxa"/>
          </w:tcPr>
          <w:p w14:paraId="5AEC000B" w14:textId="77777777" w:rsidR="000B58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Local de execução e público-alvo:</w:t>
            </w:r>
          </w:p>
          <w:p w14:paraId="2ACA7F3D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projeto será realizado 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Uninassau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campus Ponta Negra, em Natal, RN. Este local foi escolhido por sua infraestrutura completa, que inclui salas de aula, laboratórios e espaços adequados para a condução de atividades práticas e de extensão. O público-alvo principal são os alunos dos cursos de Análise e Desenvolvimento de Sistemas, Administração, e outras áreas relacionadas, que participarão das atividades como parte de sua formação acadêmica. Além disso, o projeto visa atender pequenos comerciantes de Natal, abrangendo uma variedade de setores, como comércio varejista, serviços e alimentação. Através de workshops, treinamentos e consultorias, o projeto buscará capacitar esses empreendedores, auxiliando-os na análise estratégica de mercado e na adoção de tecnologias que possam melhorar a gestão e competitividade de seus negócios.</w:t>
            </w:r>
          </w:p>
          <w:p w14:paraId="35800773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</w:tc>
      </w:tr>
    </w:tbl>
    <w:p w14:paraId="2B006929" w14:textId="77777777" w:rsidR="000B5894" w:rsidRDefault="000B5894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10632" w:type="dxa"/>
        <w:tblInd w:w="-289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10632"/>
      </w:tblGrid>
      <w:tr w:rsidR="000B5894" w14:paraId="00491DE3" w14:textId="77777777">
        <w:trPr>
          <w:trHeight w:val="696"/>
        </w:trPr>
        <w:tc>
          <w:tcPr>
            <w:tcW w:w="10632" w:type="dxa"/>
          </w:tcPr>
          <w:p w14:paraId="49CF0B75" w14:textId="77777777" w:rsidR="000B58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Materiais e métodos de abordagem:</w:t>
            </w:r>
          </w:p>
          <w:p w14:paraId="26F75EDF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  <w:p w14:paraId="7AFF62E8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Pesquisa de Campo e Coleta de Dados:</w:t>
            </w:r>
          </w:p>
          <w:p w14:paraId="32824C94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Será realizada uma pesquisa de campo com visitas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pequenos comércios. A coleta de dados será feita por meio de entrevistas presenciais e aplicação de questionários estruturados. O objetivo é compreender as principais dificuldades enfrentadas pelos comerciantes locais, especialmente em relação ao marketing, gestão financeira e atendimento ao cliente.</w:t>
            </w:r>
          </w:p>
          <w:p w14:paraId="4BC08BA1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4B96C5E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Materiais:</w:t>
            </w:r>
          </w:p>
          <w:p w14:paraId="487F1390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Celular ou Bloco de anotações para a aplicação das entrevistas e canetas para a coleta de informações e organização de maiores problemas em comum entre pequenos comércios.</w:t>
            </w:r>
          </w:p>
          <w:p w14:paraId="4E1E44BE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A400729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Análise de Mercado e consultoria:</w:t>
            </w:r>
          </w:p>
          <w:p w14:paraId="055F9D72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Após a coleta de dados, será realizada uma análise estratégica do mercado local, considerando as informações obtidas com os comerciantes e dados secundários. A análise servirá de base para a criação de relatórios e planos de ação.</w:t>
            </w:r>
          </w:p>
          <w:p w14:paraId="4027C11B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0280678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Materiais:</w:t>
            </w:r>
          </w:p>
          <w:p w14:paraId="2A8D0562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Softwares de análise de mercado e banco de dados (Excel, google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sheets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 para compilar as respostas e identificar tendencias.</w:t>
            </w:r>
          </w:p>
          <w:p w14:paraId="7F1447A1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80CF32F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Métodos:</w:t>
            </w:r>
          </w:p>
          <w:p w14:paraId="33DA2A1E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 equipe utilizará ferramentas de análise de SWOT (forças, fraquezas, oportunidades e ameaças) para avaliar o posicionamento competitivo desses comércios.</w:t>
            </w:r>
          </w:p>
          <w:p w14:paraId="538E84C8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1D88DC3A" w14:textId="77777777" w:rsidR="000B5894" w:rsidRPr="009066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0664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Participação com o público</w:t>
            </w:r>
            <w:r w:rsidRPr="009066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7381789A" w14:textId="616D4DE1" w:rsidR="0090664C" w:rsidRPr="0090664C" w:rsidRDefault="009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0664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participação do público é fundamental para o sucesso do nosso projeto, que visa desenvolver um site dedicado a ensinar ferramentas de análise estratégica de mercado para pequenos negócios. Para isso, planejamos criar um espaço interativo onde os usuários possam compartilhar suas experiências e desafios enfrentados em suas jornadas empreendedoras. Por meio comentários nos artigos e fóruns de discussão, incentivaremos a troca de ideias e a colaboração entre os visitantes. Além disso, no futuro, pretendemos implementar ferramentas práticas diretamente no site, permitindo que os usuários testem e apliquem as técnicas aprendidas de forma objetiva e eficaz. Dessa forma, buscamos não apenas informar, mas também engajar e capacitar a comunidade de pequenos empresários.</w:t>
            </w:r>
          </w:p>
          <w:p w14:paraId="70AF8EF7" w14:textId="77777777" w:rsidR="000B4CA8" w:rsidRDefault="000B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14:paraId="2675624E" w14:textId="0D25C505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0C2EE3" w14:textId="77777777" w:rsidR="000B5894" w:rsidRDefault="000B5894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10632" w:type="dxa"/>
        <w:tblInd w:w="-289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10632"/>
      </w:tblGrid>
      <w:tr w:rsidR="000B5894" w14:paraId="2B159DF8" w14:textId="77777777">
        <w:trPr>
          <w:trHeight w:val="271"/>
        </w:trPr>
        <w:tc>
          <w:tcPr>
            <w:tcW w:w="10632" w:type="dxa"/>
          </w:tcPr>
          <w:p w14:paraId="3E6F6E64" w14:textId="77777777" w:rsidR="000B58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Resultados esperados:</w:t>
            </w:r>
          </w:p>
          <w:p w14:paraId="53EAD5D0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  <w:p w14:paraId="731976A8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Impacto na Formação Profissional da Equipe</w:t>
            </w:r>
          </w:p>
          <w:p w14:paraId="32EA1307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Espera-se que os membros da equipe, ao participarem deste projeto, adquiram conhecimentos práticos e estratégicos sobre o funcionamento de pequenos comércios e o mercado local. Isso incluirá o desenvolvimento de habilidades em análise de dados, comunicação e relacionamento com clientes, além de experiência em consultoria e desenvolvimento de intervenções voltadas para negócios. A equipe também poderá aprimorar sua capacidade de trabalho em campo, resolução de problemas e coordenação de eventos, como oficinas e treinamentos. Esses conhecimentos contribuirão diretamente para a formação profissional, proporcionando uma experiência valiosa em projetos voltados para o empreendedorismo e desenvolvimento econômico local.</w:t>
            </w:r>
          </w:p>
          <w:p w14:paraId="58E8C118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4448F7B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Impacto no Público-Alvo</w:t>
            </w:r>
          </w:p>
          <w:p w14:paraId="054152C1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Para os pequenos comerciantes de Natal, o projeto poderá gerar uma série de benefícios. Primeiramente, a aplicação de estratégias de gestão, marketing digital e atendimento ao cliente, desenvolvidas a partir das análises de mercado e oficinas, poderá melhorar a competitividade e sustentabilidade dos negócios. Além disso, ao oferecer capacitação e consultoria, espera-se que os participantes tenham maior acesso a ferramentas de controle financeiro, técnicas de vendas e métodos para melhorar o relacionamento com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seus clientes. Isso, em última instância, pode resultar em um aumento de receita, melhoria na fidelização dos clientes e fortalecimento das operações comerciais, beneficiando a economia local como um todo.</w:t>
            </w:r>
          </w:p>
          <w:p w14:paraId="36106D56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F3F5110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</w:tc>
      </w:tr>
    </w:tbl>
    <w:p w14:paraId="7759EDAF" w14:textId="77777777" w:rsidR="000B5894" w:rsidRDefault="000B5894">
      <w:pPr>
        <w:rPr>
          <w:rFonts w:ascii="Arial" w:eastAsia="Arial" w:hAnsi="Arial" w:cs="Arial"/>
          <w:b/>
        </w:rPr>
      </w:pPr>
    </w:p>
    <w:tbl>
      <w:tblPr>
        <w:tblStyle w:val="a5"/>
        <w:tblW w:w="10632" w:type="dxa"/>
        <w:tblInd w:w="-289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10632"/>
      </w:tblGrid>
      <w:tr w:rsidR="000B5894" w14:paraId="49E19B6B" w14:textId="77777777">
        <w:trPr>
          <w:trHeight w:val="557"/>
        </w:trPr>
        <w:tc>
          <w:tcPr>
            <w:tcW w:w="10632" w:type="dxa"/>
          </w:tcPr>
          <w:p w14:paraId="5000546D" w14:textId="77777777" w:rsidR="000B58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Cronograma</w:t>
            </w:r>
          </w:p>
          <w:p w14:paraId="37B3AB32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  <w:tbl>
            <w:tblPr>
              <w:tblStyle w:val="a6"/>
              <w:tblW w:w="8241" w:type="dxa"/>
              <w:jc w:val="center"/>
              <w:tblInd w:w="0" w:type="dxa"/>
              <w:tblBorders>
                <w:top w:val="single" w:sz="4" w:space="0" w:color="548DD4"/>
                <w:left w:val="single" w:sz="4" w:space="0" w:color="548DD4"/>
                <w:bottom w:val="single" w:sz="4" w:space="0" w:color="548DD4"/>
                <w:right w:val="single" w:sz="4" w:space="0" w:color="548DD4"/>
                <w:insideH w:val="single" w:sz="4" w:space="0" w:color="548DD4"/>
                <w:insideV w:val="single" w:sz="4" w:space="0" w:color="548DD4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0B5894" w14:paraId="0B64C67D" w14:textId="77777777">
              <w:trPr>
                <w:trHeight w:val="381"/>
                <w:jc w:val="center"/>
              </w:trPr>
              <w:tc>
                <w:tcPr>
                  <w:tcW w:w="4803" w:type="dxa"/>
                  <w:vMerge w:val="restart"/>
                  <w:vAlign w:val="center"/>
                </w:tcPr>
                <w:p w14:paraId="02BB6F97" w14:textId="77777777" w:rsidR="000B5894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ATIVIDADES DO PROJETO</w:t>
                  </w: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14:paraId="6BB49FD6" w14:textId="77777777" w:rsidR="000B5894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2024</w:t>
                  </w:r>
                </w:p>
              </w:tc>
            </w:tr>
            <w:tr w:rsidR="000B5894" w14:paraId="201224AC" w14:textId="77777777">
              <w:trPr>
                <w:trHeight w:val="381"/>
                <w:jc w:val="center"/>
              </w:trPr>
              <w:tc>
                <w:tcPr>
                  <w:tcW w:w="4803" w:type="dxa"/>
                  <w:vMerge/>
                  <w:vAlign w:val="center"/>
                </w:tcPr>
                <w:p w14:paraId="341F69A0" w14:textId="77777777" w:rsidR="000B5894" w:rsidRDefault="000B58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3423EC27" w14:textId="77777777" w:rsidR="000B5894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AGO</w:t>
                  </w:r>
                </w:p>
              </w:tc>
              <w:tc>
                <w:tcPr>
                  <w:tcW w:w="687" w:type="dxa"/>
                  <w:vAlign w:val="center"/>
                </w:tcPr>
                <w:p w14:paraId="61276384" w14:textId="77777777" w:rsidR="000B5894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</w:p>
              </w:tc>
              <w:tc>
                <w:tcPr>
                  <w:tcW w:w="686" w:type="dxa"/>
                  <w:vAlign w:val="center"/>
                </w:tcPr>
                <w:p w14:paraId="3F21A681" w14:textId="77777777" w:rsidR="000B5894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</w:t>
                  </w:r>
                </w:p>
              </w:tc>
              <w:tc>
                <w:tcPr>
                  <w:tcW w:w="692" w:type="dxa"/>
                  <w:vAlign w:val="center"/>
                </w:tcPr>
                <w:p w14:paraId="08FD7DC1" w14:textId="77777777" w:rsidR="000B5894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NOV</w:t>
                  </w:r>
                </w:p>
              </w:tc>
              <w:tc>
                <w:tcPr>
                  <w:tcW w:w="687" w:type="dxa"/>
                  <w:vAlign w:val="center"/>
                </w:tcPr>
                <w:p w14:paraId="7FCE1540" w14:textId="77777777" w:rsidR="000B5894" w:rsidRDefault="000000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DEZ</w:t>
                  </w:r>
                </w:p>
              </w:tc>
            </w:tr>
            <w:tr w:rsidR="000B5894" w14:paraId="4FCEA73F" w14:textId="77777777" w:rsidTr="00B24D77">
              <w:trPr>
                <w:trHeight w:val="746"/>
                <w:jc w:val="center"/>
              </w:trPr>
              <w:tc>
                <w:tcPr>
                  <w:tcW w:w="4803" w:type="dxa"/>
                  <w:vAlign w:val="center"/>
                </w:tcPr>
                <w:p w14:paraId="7315AE07" w14:textId="77777777" w:rsidR="000B58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 xml:space="preserve">Identificar as principais ferramentas tecnológicas </w:t>
                  </w:r>
                </w:p>
                <w:p w14:paraId="21C230B1" w14:textId="77777777" w:rsidR="000B5894" w:rsidRDefault="000B589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686" w:type="dxa"/>
                  <w:shd w:val="clear" w:color="auto" w:fill="7F7F7F" w:themeFill="text1" w:themeFillTint="80"/>
                  <w:vAlign w:val="center"/>
                </w:tcPr>
                <w:p w14:paraId="31D2AA61" w14:textId="77777777" w:rsidR="000B5894" w:rsidRDefault="000B5894">
                  <w:pPr>
                    <w:jc w:val="center"/>
                    <w:rPr>
                      <w:color w:val="434343"/>
                    </w:rPr>
                  </w:pPr>
                </w:p>
              </w:tc>
              <w:tc>
                <w:tcPr>
                  <w:tcW w:w="687" w:type="dxa"/>
                  <w:shd w:val="clear" w:color="auto" w:fill="7F7F7F" w:themeFill="text1" w:themeFillTint="80"/>
                  <w:vAlign w:val="center"/>
                </w:tcPr>
                <w:p w14:paraId="79DF07ED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7C40143E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4155862F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9099610" w14:textId="77777777" w:rsidR="000B5894" w:rsidRDefault="000B5894">
                  <w:pPr>
                    <w:jc w:val="center"/>
                  </w:pPr>
                </w:p>
              </w:tc>
            </w:tr>
            <w:tr w:rsidR="000B5894" w14:paraId="42A38CE7" w14:textId="77777777" w:rsidTr="00B24D77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45F30802" w14:textId="77777777" w:rsidR="000B58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Avaliar a eficácia dessas ferramentas na coleta e análise de dados de mercado para pequenos negócios.</w:t>
                  </w:r>
                </w:p>
                <w:p w14:paraId="178712B0" w14:textId="77777777" w:rsidR="000B5894" w:rsidRDefault="000B589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33E4BB3C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shd w:val="clear" w:color="auto" w:fill="7F7F7F" w:themeFill="text1" w:themeFillTint="80"/>
                  <w:vAlign w:val="center"/>
                </w:tcPr>
                <w:p w14:paraId="68EFC9B5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21A0795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4BA1CF5F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99D4D1A" w14:textId="77777777" w:rsidR="000B5894" w:rsidRDefault="000B5894">
                  <w:pPr>
                    <w:jc w:val="center"/>
                  </w:pPr>
                </w:p>
              </w:tc>
            </w:tr>
            <w:tr w:rsidR="000B5894" w14:paraId="370AEF48" w14:textId="77777777" w:rsidTr="00B24D77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17614513" w14:textId="77777777" w:rsidR="000B58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Analisar como a utilização de tecnologia pode melhorar a tomada de decisões estratégicas</w:t>
                  </w:r>
                </w:p>
                <w:p w14:paraId="09A3A480" w14:textId="77777777" w:rsidR="000B5894" w:rsidRDefault="000B589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65EA779F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shd w:val="clear" w:color="auto" w:fill="7F7F7F" w:themeFill="text1" w:themeFillTint="80"/>
                  <w:vAlign w:val="center"/>
                </w:tcPr>
                <w:p w14:paraId="6EFC06A5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597D9C2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3D89BE05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684B97C9" w14:textId="77777777" w:rsidR="000B5894" w:rsidRDefault="000B5894">
                  <w:pPr>
                    <w:jc w:val="center"/>
                  </w:pPr>
                </w:p>
              </w:tc>
            </w:tr>
            <w:tr w:rsidR="000B5894" w14:paraId="4EE82BCA" w14:textId="77777777" w:rsidTr="000B4CA8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398A8143" w14:textId="77777777" w:rsidR="000B58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Explorar as melhores práticas para integrar ferramentas tecnológicas nas operações diárias de pequenos negócios.</w:t>
                  </w:r>
                </w:p>
                <w:p w14:paraId="118DB498" w14:textId="77777777" w:rsidR="000B5894" w:rsidRDefault="000B589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rPr>
                      <w:b/>
                      <w:color w:val="000000"/>
                      <w:sz w:val="14"/>
                      <w:szCs w:val="14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0455E91D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shd w:val="clear" w:color="auto" w:fill="7F7F7F" w:themeFill="text1" w:themeFillTint="80"/>
                  <w:vAlign w:val="center"/>
                </w:tcPr>
                <w:p w14:paraId="6EDCB25B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6" w:type="dxa"/>
                  <w:shd w:val="clear" w:color="auto" w:fill="7F7F7F" w:themeFill="text1" w:themeFillTint="80"/>
                  <w:vAlign w:val="center"/>
                </w:tcPr>
                <w:p w14:paraId="23B34F70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30FB3143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F9DAC4F" w14:textId="77777777" w:rsidR="000B5894" w:rsidRDefault="000B5894">
                  <w:pPr>
                    <w:jc w:val="center"/>
                  </w:pPr>
                </w:p>
              </w:tc>
            </w:tr>
            <w:tr w:rsidR="000B5894" w14:paraId="31FC3D3C" w14:textId="77777777" w:rsidTr="000B4CA8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3BE4BD19" w14:textId="77777777" w:rsidR="000B58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Determinar os desafios enfrentados por pequenos negócios ao adotar tecnologias para análise de mercado e desenvolver soluções para superá-los.</w:t>
                  </w:r>
                </w:p>
                <w:p w14:paraId="51374451" w14:textId="77777777" w:rsidR="000B5894" w:rsidRDefault="000B5894">
                  <w:pPr>
                    <w:ind w:left="360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5044C844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9C3C7AB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6" w:type="dxa"/>
                  <w:shd w:val="clear" w:color="auto" w:fill="7F7F7F" w:themeFill="text1" w:themeFillTint="80"/>
                  <w:vAlign w:val="center"/>
                </w:tcPr>
                <w:p w14:paraId="66CFEBB2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5192002D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691DA97E" w14:textId="77777777" w:rsidR="000B5894" w:rsidRDefault="000B5894">
                  <w:pPr>
                    <w:jc w:val="center"/>
                  </w:pPr>
                </w:p>
              </w:tc>
            </w:tr>
            <w:tr w:rsidR="000B5894" w14:paraId="509FF623" w14:textId="77777777" w:rsidTr="000B4CA8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34C6074E" w14:textId="77777777" w:rsidR="000B58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Comparar os resultados obtidos por pequenos negócios que utilizam tecnologias avançadas com aqueles que não utilizam, destacando as vantagens e desvantagens.</w:t>
                  </w:r>
                </w:p>
                <w:p w14:paraId="2C131361" w14:textId="77777777" w:rsidR="000B5894" w:rsidRDefault="000B5894">
                  <w:pPr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72DB341F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E6B78D4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6" w:type="dxa"/>
                  <w:shd w:val="clear" w:color="auto" w:fill="7F7F7F" w:themeFill="text1" w:themeFillTint="80"/>
                  <w:vAlign w:val="center"/>
                </w:tcPr>
                <w:p w14:paraId="5C0748B0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1E7C6274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4D9BFCE" w14:textId="77777777" w:rsidR="000B5894" w:rsidRDefault="000B5894">
                  <w:pPr>
                    <w:jc w:val="center"/>
                  </w:pPr>
                </w:p>
              </w:tc>
            </w:tr>
            <w:tr w:rsidR="000B5894" w14:paraId="61FC3EE7" w14:textId="77777777" w:rsidTr="000B4CA8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23B26E50" w14:textId="77777777" w:rsidR="000B5894" w:rsidRDefault="00000000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Desenvolver recomendações para a implementação eficaz de tecnologias na análise estratégica de mercado para pequenos negócios.</w:t>
                  </w:r>
                </w:p>
              </w:tc>
              <w:tc>
                <w:tcPr>
                  <w:tcW w:w="686" w:type="dxa"/>
                  <w:vAlign w:val="center"/>
                </w:tcPr>
                <w:p w14:paraId="0F3EC57D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62AF864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6" w:type="dxa"/>
                  <w:shd w:val="clear" w:color="auto" w:fill="7F7F7F" w:themeFill="text1" w:themeFillTint="80"/>
                  <w:vAlign w:val="center"/>
                </w:tcPr>
                <w:p w14:paraId="69880611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225DB031" w14:textId="77777777" w:rsidR="000B5894" w:rsidRDefault="000B5894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F3CFE7F" w14:textId="77777777" w:rsidR="000B5894" w:rsidRDefault="000B5894">
                  <w:pPr>
                    <w:jc w:val="center"/>
                  </w:pPr>
                </w:p>
              </w:tc>
            </w:tr>
          </w:tbl>
          <w:p w14:paraId="25060BFF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  <w:p w14:paraId="7406F493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</w:p>
        </w:tc>
      </w:tr>
    </w:tbl>
    <w:p w14:paraId="6F1446FD" w14:textId="77777777" w:rsidR="000B5894" w:rsidRDefault="000B5894">
      <w:pPr>
        <w:rPr>
          <w:rFonts w:ascii="Arial" w:eastAsia="Arial" w:hAnsi="Arial" w:cs="Arial"/>
          <w:b/>
        </w:rPr>
      </w:pPr>
    </w:p>
    <w:tbl>
      <w:tblPr>
        <w:tblStyle w:val="a7"/>
        <w:tblW w:w="12715" w:type="dxa"/>
        <w:tblInd w:w="-289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12715"/>
      </w:tblGrid>
      <w:tr w:rsidR="000B5894" w14:paraId="2D7BF50A" w14:textId="77777777">
        <w:trPr>
          <w:trHeight w:val="426"/>
        </w:trPr>
        <w:tc>
          <w:tcPr>
            <w:tcW w:w="12715" w:type="dxa"/>
          </w:tcPr>
          <w:p w14:paraId="77F4400F" w14:textId="77777777" w:rsidR="000B589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Referências Bibliográficas</w:t>
            </w:r>
          </w:p>
          <w:p w14:paraId="704A6BDE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//Introdução </w:t>
            </w:r>
          </w:p>
          <w:p w14:paraId="72191D8E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hyperlink r:id="rId7">
              <w:r>
                <w:rPr>
                  <w:rFonts w:ascii="Arial" w:eastAsia="Arial" w:hAnsi="Arial" w:cs="Arial"/>
                  <w:b/>
                  <w:color w:val="1155CC"/>
                  <w:sz w:val="24"/>
                  <w:szCs w:val="24"/>
                  <w:u w:val="single"/>
                </w:rPr>
                <w:t>https://rockcontent.com/br/blog/5-forcas-de-porter/</w:t>
              </w:r>
            </w:hyperlink>
          </w:p>
          <w:p w14:paraId="488FBECE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hyperlink r:id="rId8">
              <w:r>
                <w:rPr>
                  <w:rFonts w:ascii="Arial" w:eastAsia="Arial" w:hAnsi="Arial" w:cs="Arial"/>
                  <w:b/>
                  <w:color w:val="1155CC"/>
                  <w:sz w:val="24"/>
                  <w:szCs w:val="24"/>
                  <w:u w:val="single"/>
                </w:rPr>
                <w:t>https://investorcp.com/gestao-empresarial/analise-de-mercado/</w:t>
              </w:r>
            </w:hyperlink>
          </w:p>
          <w:p w14:paraId="4D97C62B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hyperlink r:id="rId9">
              <w:r>
                <w:rPr>
                  <w:rFonts w:ascii="Arial" w:eastAsia="Arial" w:hAnsi="Arial" w:cs="Arial"/>
                  <w:b/>
                  <w:color w:val="1155CC"/>
                  <w:sz w:val="24"/>
                  <w:szCs w:val="24"/>
                  <w:u w:val="single"/>
                </w:rPr>
                <w:t>https://estrategiadeconteudo.com.br/marketing/ferramentas-essenciais-para-analise-e-estrategia/</w:t>
              </w:r>
            </w:hyperlink>
          </w:p>
          <w:p w14:paraId="529A3796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hyperlink r:id="rId10">
              <w:r>
                <w:rPr>
                  <w:rFonts w:ascii="Arial" w:eastAsia="Arial" w:hAnsi="Arial" w:cs="Arial"/>
                  <w:b/>
                  <w:color w:val="1155CC"/>
                  <w:sz w:val="24"/>
                  <w:szCs w:val="24"/>
                  <w:u w:val="single"/>
                </w:rPr>
                <w:t>https://www.activecampaign.com/br/blog/crm-gestao-relacionamento-cliente</w:t>
              </w:r>
            </w:hyperlink>
          </w:p>
          <w:p w14:paraId="015358C7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hyperlink r:id="rId11">
              <w:r>
                <w:rPr>
                  <w:rFonts w:ascii="Arial" w:eastAsia="Arial" w:hAnsi="Arial" w:cs="Arial"/>
                  <w:b/>
                  <w:color w:val="1155CC"/>
                  <w:sz w:val="24"/>
                  <w:szCs w:val="24"/>
                  <w:u w:val="single"/>
                </w:rPr>
                <w:t>https://ramper.com.br/blog/monitoramento-redes-sociais/</w:t>
              </w:r>
            </w:hyperlink>
          </w:p>
          <w:p w14:paraId="75817141" w14:textId="77777777" w:rsidR="000B5894" w:rsidRDefault="000B58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1E2B5D7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//Caracterização da Area</w:t>
            </w:r>
          </w:p>
          <w:p w14:paraId="7166B56C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https://tribunadonorte.com.br/natal/rn-tem-48-mil-alunos-fora-da-faixa-no-ensino-medio/#:~:text=Segundo%20o%20IBGE%2C%20o%20estado,matricularam%20na%20na%20rede%20estadual.</w:t>
            </w:r>
          </w:p>
          <w:p w14:paraId="0C4AD28C" w14:textId="77777777" w:rsidR="000B58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https://www.google.com/amp/s/mundoeducacao.uol.com.br/amp/geografia/natal.htm</w:t>
            </w:r>
          </w:p>
        </w:tc>
      </w:tr>
    </w:tbl>
    <w:p w14:paraId="0774529C" w14:textId="77777777" w:rsidR="000B5894" w:rsidRDefault="000B5894">
      <w:pPr>
        <w:rPr>
          <w:rFonts w:ascii="Arial" w:eastAsia="Arial" w:hAnsi="Arial" w:cs="Arial"/>
          <w:b/>
        </w:rPr>
      </w:pPr>
    </w:p>
    <w:sectPr w:rsidR="000B58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041" w:bottom="1418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729E2" w14:textId="77777777" w:rsidR="00E66D09" w:rsidRDefault="00E66D09">
      <w:r>
        <w:separator/>
      </w:r>
    </w:p>
  </w:endnote>
  <w:endnote w:type="continuationSeparator" w:id="0">
    <w:p w14:paraId="3121357F" w14:textId="77777777" w:rsidR="00E66D09" w:rsidRDefault="00E66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162A8" w14:textId="77777777" w:rsidR="000B5894" w:rsidRDefault="000B58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9AE6A" w14:textId="77777777" w:rsidR="000B5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B24D7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B24D77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CC51411" w14:textId="77777777" w:rsidR="000B5894" w:rsidRDefault="000B58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5A6C8" w14:textId="77777777" w:rsidR="000B5894" w:rsidRDefault="000B58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100BA" w14:textId="77777777" w:rsidR="00E66D09" w:rsidRDefault="00E66D09">
      <w:r>
        <w:separator/>
      </w:r>
    </w:p>
  </w:footnote>
  <w:footnote w:type="continuationSeparator" w:id="0">
    <w:p w14:paraId="0091E708" w14:textId="77777777" w:rsidR="00E66D09" w:rsidRDefault="00E66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5BFD3" w14:textId="77777777" w:rsidR="000B5894" w:rsidRDefault="000B58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98086" w14:textId="77777777" w:rsidR="000B5894" w:rsidRDefault="000B58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8"/>
      <w:tblW w:w="10216" w:type="dxa"/>
      <w:tblInd w:w="-152" w:type="dxa"/>
      <w:tblBorders>
        <w:top w:val="single" w:sz="8" w:space="0" w:color="538ED5"/>
        <w:left w:val="single" w:sz="8" w:space="0" w:color="538ED5"/>
        <w:bottom w:val="single" w:sz="8" w:space="0" w:color="538ED5"/>
        <w:right w:val="single" w:sz="8" w:space="0" w:color="538ED5"/>
        <w:insideH w:val="single" w:sz="8" w:space="0" w:color="538ED5"/>
        <w:insideV w:val="single" w:sz="8" w:space="0" w:color="538ED5"/>
      </w:tblBorders>
      <w:tblLayout w:type="fixed"/>
      <w:tblLook w:val="0400" w:firstRow="0" w:lastRow="0" w:firstColumn="0" w:lastColumn="0" w:noHBand="0" w:noVBand="1"/>
    </w:tblPr>
    <w:tblGrid>
      <w:gridCol w:w="1701"/>
      <w:gridCol w:w="3554"/>
      <w:gridCol w:w="708"/>
      <w:gridCol w:w="993"/>
      <w:gridCol w:w="850"/>
      <w:gridCol w:w="415"/>
      <w:gridCol w:w="851"/>
      <w:gridCol w:w="1144"/>
    </w:tblGrid>
    <w:tr w:rsidR="000B5894" w14:paraId="1408511E" w14:textId="77777777">
      <w:trPr>
        <w:trHeight w:val="192"/>
      </w:trPr>
      <w:tc>
        <w:tcPr>
          <w:tcW w:w="1702" w:type="dxa"/>
          <w:shd w:val="clear" w:color="auto" w:fill="auto"/>
          <w:vAlign w:val="center"/>
        </w:tcPr>
        <w:p w14:paraId="03046B3A" w14:textId="77777777" w:rsidR="000B5894" w:rsidRDefault="00000000">
          <w:pPr>
            <w:jc w:val="center"/>
            <w:rPr>
              <w:color w:val="000000"/>
              <w:sz w:val="18"/>
              <w:szCs w:val="18"/>
            </w:rPr>
          </w:pPr>
          <w:bookmarkStart w:id="0" w:name="_gjdgxs" w:colFirst="0" w:colLast="0"/>
          <w:bookmarkEnd w:id="0"/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 wp14:anchorId="48CDDF22" wp14:editId="1CF6011B">
                <wp:extent cx="620495" cy="259076"/>
                <wp:effectExtent l="0" t="0" r="0" b="0"/>
                <wp:docPr id="1" name="image1.png" descr="Logotipo, nome da empresa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, nome da empresa&#10;&#10;Descrição gerada automaticamente"/>
                        <pic:cNvPicPr preferRelativeResize="0"/>
                      </pic:nvPicPr>
                      <pic:blipFill>
                        <a:blip r:embed="rId1"/>
                        <a:srcRect b="371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495" cy="2590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5" w:type="dxa"/>
          <w:gridSpan w:val="7"/>
          <w:shd w:val="clear" w:color="auto" w:fill="auto"/>
          <w:vAlign w:val="center"/>
        </w:tcPr>
        <w:p w14:paraId="5B923BAD" w14:textId="77777777" w:rsidR="000B5894" w:rsidRDefault="00000000">
          <w:pPr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PROJETO DE INTERVENÇÃO (DISCIPLINA DE EXTENSÃO - DISCENTE)</w:t>
          </w:r>
        </w:p>
      </w:tc>
    </w:tr>
    <w:tr w:rsidR="000B5894" w14:paraId="1436F58D" w14:textId="77777777">
      <w:trPr>
        <w:trHeight w:val="20"/>
      </w:trPr>
      <w:tc>
        <w:tcPr>
          <w:tcW w:w="1702" w:type="dxa"/>
          <w:shd w:val="clear" w:color="auto" w:fill="DBE5F1"/>
          <w:vAlign w:val="center"/>
        </w:tcPr>
        <w:p w14:paraId="1E1C9A48" w14:textId="77777777" w:rsidR="000B5894" w:rsidRDefault="00000000">
          <w:pPr>
            <w:ind w:left="67" w:right="-72" w:hanging="70"/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APROVADO POR:</w:t>
          </w:r>
        </w:p>
      </w:tc>
      <w:tc>
        <w:tcPr>
          <w:tcW w:w="3554" w:type="dxa"/>
          <w:shd w:val="clear" w:color="auto" w:fill="auto"/>
          <w:vAlign w:val="center"/>
        </w:tcPr>
        <w:p w14:paraId="4A578057" w14:textId="77777777" w:rsidR="000B5894" w:rsidRDefault="00000000">
          <w:pPr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DIRETORA ADJUNTA DE REGULAÇÃO</w:t>
          </w:r>
        </w:p>
      </w:tc>
      <w:tc>
        <w:tcPr>
          <w:tcW w:w="708" w:type="dxa"/>
          <w:shd w:val="clear" w:color="auto" w:fill="DBE5F1"/>
          <w:vAlign w:val="center"/>
        </w:tcPr>
        <w:p w14:paraId="19E36EB0" w14:textId="77777777" w:rsidR="000B5894" w:rsidRDefault="00000000">
          <w:pPr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DATA:</w:t>
          </w:r>
        </w:p>
      </w:tc>
      <w:tc>
        <w:tcPr>
          <w:tcW w:w="993" w:type="dxa"/>
          <w:shd w:val="clear" w:color="auto" w:fill="auto"/>
          <w:vAlign w:val="center"/>
        </w:tcPr>
        <w:p w14:paraId="451A0AB0" w14:textId="77777777" w:rsidR="000B5894" w:rsidRDefault="00000000">
          <w:pPr>
            <w:ind w:right="-70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19/02/2024</w:t>
          </w:r>
        </w:p>
      </w:tc>
      <w:tc>
        <w:tcPr>
          <w:tcW w:w="850" w:type="dxa"/>
          <w:shd w:val="clear" w:color="auto" w:fill="DBE5F1"/>
          <w:vAlign w:val="center"/>
        </w:tcPr>
        <w:p w14:paraId="1318D6FC" w14:textId="77777777" w:rsidR="000B5894" w:rsidRDefault="00000000">
          <w:pPr>
            <w:ind w:right="-70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VERSÃO:</w:t>
          </w:r>
        </w:p>
      </w:tc>
      <w:tc>
        <w:tcPr>
          <w:tcW w:w="415" w:type="dxa"/>
          <w:shd w:val="clear" w:color="auto" w:fill="auto"/>
          <w:vAlign w:val="center"/>
        </w:tcPr>
        <w:p w14:paraId="3AFC3B3E" w14:textId="77777777" w:rsidR="000B5894" w:rsidRDefault="00000000">
          <w:pPr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01</w:t>
          </w:r>
        </w:p>
      </w:tc>
      <w:tc>
        <w:tcPr>
          <w:tcW w:w="851" w:type="dxa"/>
          <w:shd w:val="clear" w:color="auto" w:fill="DBE5F1"/>
          <w:vAlign w:val="center"/>
        </w:tcPr>
        <w:p w14:paraId="79798E1D" w14:textId="77777777" w:rsidR="000B5894" w:rsidRDefault="00000000">
          <w:pPr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CÓDIGO:</w:t>
          </w:r>
        </w:p>
      </w:tc>
      <w:tc>
        <w:tcPr>
          <w:tcW w:w="1144" w:type="dxa"/>
          <w:shd w:val="clear" w:color="auto" w:fill="auto"/>
          <w:vAlign w:val="center"/>
        </w:tcPr>
        <w:p w14:paraId="474DF182" w14:textId="77777777" w:rsidR="000B5894" w:rsidRDefault="00000000">
          <w:pPr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PEX-MDL-54</w:t>
          </w:r>
        </w:p>
      </w:tc>
    </w:tr>
  </w:tbl>
  <w:p w14:paraId="1B76D63A" w14:textId="77777777" w:rsidR="000B5894" w:rsidRDefault="000B58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567"/>
      <w:jc w:val="both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FAC8D" w14:textId="77777777" w:rsidR="000B5894" w:rsidRDefault="000B58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9"/>
      <w:tblW w:w="10200" w:type="dxa"/>
      <w:jc w:val="center"/>
      <w:tblInd w:w="0" w:type="dxa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Look w:val="0400" w:firstRow="0" w:lastRow="0" w:firstColumn="0" w:lastColumn="0" w:noHBand="0" w:noVBand="1"/>
    </w:tblPr>
    <w:tblGrid>
      <w:gridCol w:w="2159"/>
      <w:gridCol w:w="5918"/>
      <w:gridCol w:w="2123"/>
    </w:tblGrid>
    <w:tr w:rsidR="000B5894" w14:paraId="02933459" w14:textId="77777777">
      <w:trPr>
        <w:cantSplit/>
        <w:trHeight w:val="538"/>
        <w:jc w:val="center"/>
      </w:trPr>
      <w:tc>
        <w:tcPr>
          <w:tcW w:w="2159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</w:tcPr>
        <w:p w14:paraId="1ADB7AA9" w14:textId="77777777" w:rsidR="000B5894" w:rsidRDefault="00000000">
          <w:pPr>
            <w:ind w:left="-55"/>
            <w:jc w:val="center"/>
            <w:rPr>
              <w:rFonts w:ascii="Arial" w:eastAsia="Arial" w:hAnsi="Arial" w:cs="Arial"/>
              <w:sz w:val="8"/>
              <w:szCs w:val="8"/>
            </w:rPr>
          </w:pPr>
          <w:r>
            <w:rPr>
              <w:rFonts w:ascii="Arial" w:eastAsia="Arial" w:hAnsi="Arial" w:cs="Arial"/>
              <w:noProof/>
              <w:sz w:val="8"/>
              <w:szCs w:val="8"/>
            </w:rPr>
            <w:drawing>
              <wp:inline distT="0" distB="0" distL="0" distR="0" wp14:anchorId="249535E9" wp14:editId="0B4201F7">
                <wp:extent cx="1304290" cy="57277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290" cy="572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vMerge w:val="restart"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</w:tcPr>
        <w:p w14:paraId="70FD6C46" w14:textId="77777777" w:rsidR="000B5894" w:rsidRDefault="00000000">
          <w:pPr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26"/>
              <w:szCs w:val="26"/>
            </w:rPr>
            <w:t>PROJETO DE ATIVIDADES DE EXTENSÃO</w:t>
          </w: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</w:tcPr>
        <w:p w14:paraId="452FB330" w14:textId="77777777" w:rsidR="000B5894" w:rsidRDefault="00000000">
          <w:pPr>
            <w:spacing w:line="312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Número:</w:t>
          </w:r>
        </w:p>
        <w:p w14:paraId="51FA18B8" w14:textId="77777777" w:rsidR="000B5894" w:rsidRDefault="00000000">
          <w:pPr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CCG-FOR-27</w:t>
          </w:r>
        </w:p>
      </w:tc>
    </w:tr>
    <w:tr w:rsidR="000B5894" w14:paraId="06650AFA" w14:textId="77777777">
      <w:trPr>
        <w:cantSplit/>
        <w:trHeight w:val="691"/>
        <w:jc w:val="center"/>
      </w:trPr>
      <w:tc>
        <w:tcPr>
          <w:tcW w:w="2159" w:type="dxa"/>
          <w:vMerge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</w:tcPr>
        <w:p w14:paraId="644BE437" w14:textId="77777777" w:rsidR="000B5894" w:rsidRDefault="000B58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8"/>
              <w:szCs w:val="18"/>
            </w:rPr>
          </w:pPr>
        </w:p>
      </w:tc>
      <w:tc>
        <w:tcPr>
          <w:tcW w:w="5918" w:type="dxa"/>
          <w:vMerge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</w:tcPr>
        <w:p w14:paraId="4E7F006D" w14:textId="77777777" w:rsidR="000B5894" w:rsidRDefault="000B58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8"/>
              <w:szCs w:val="18"/>
            </w:rPr>
          </w:pP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</w:tcPr>
        <w:p w14:paraId="79403C65" w14:textId="77777777" w:rsidR="000B5894" w:rsidRDefault="00000000">
          <w:pPr>
            <w:spacing w:line="312" w:lineRule="auto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Aprovação</w:t>
          </w:r>
          <w:r>
            <w:rPr>
              <w:rFonts w:ascii="Arial" w:eastAsia="Arial" w:hAnsi="Arial" w:cs="Arial"/>
              <w:b/>
            </w:rPr>
            <w:t>:</w:t>
          </w:r>
        </w:p>
        <w:p w14:paraId="3059F6FD" w14:textId="77777777" w:rsidR="000B5894" w:rsidRDefault="00000000">
          <w:pPr>
            <w:jc w:val="center"/>
            <w:rPr>
              <w:rFonts w:ascii="Arial" w:eastAsia="Arial" w:hAnsi="Arial" w:cs="Arial"/>
              <w:b/>
              <w:sz w:val="19"/>
              <w:szCs w:val="19"/>
            </w:rPr>
          </w:pPr>
          <w:r>
            <w:rPr>
              <w:rFonts w:ascii="Arial" w:eastAsia="Arial" w:hAnsi="Arial" w:cs="Arial"/>
              <w:b/>
              <w:sz w:val="19"/>
              <w:szCs w:val="19"/>
            </w:rPr>
            <w:t>Diretoria Acadêmica Ser Educacional</w:t>
          </w:r>
        </w:p>
      </w:tc>
    </w:tr>
  </w:tbl>
  <w:p w14:paraId="6D62BBBC" w14:textId="77777777" w:rsidR="000B5894" w:rsidRDefault="000B58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E2F29"/>
    <w:multiLevelType w:val="multilevel"/>
    <w:tmpl w:val="FFAE3C1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9754E"/>
    <w:multiLevelType w:val="multilevel"/>
    <w:tmpl w:val="E42AB10C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87848">
    <w:abstractNumId w:val="0"/>
  </w:num>
  <w:num w:numId="2" w16cid:durableId="211621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94"/>
    <w:rsid w:val="000B4CA8"/>
    <w:rsid w:val="000B5894"/>
    <w:rsid w:val="000C6893"/>
    <w:rsid w:val="001B7BD8"/>
    <w:rsid w:val="002B6D11"/>
    <w:rsid w:val="003B7FE6"/>
    <w:rsid w:val="005D49E0"/>
    <w:rsid w:val="00606EA4"/>
    <w:rsid w:val="006550CE"/>
    <w:rsid w:val="00676A35"/>
    <w:rsid w:val="00781BDC"/>
    <w:rsid w:val="0090664C"/>
    <w:rsid w:val="00A56EA8"/>
    <w:rsid w:val="00B24D77"/>
    <w:rsid w:val="00C172D0"/>
    <w:rsid w:val="00E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F660"/>
  <w15:docId w15:val="{2AFF5306-2AAE-4E11-AE5A-FF82172E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3" w:type="dxa"/>
        <w:righ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orcp.com/gestao-empresarial/analise-de-mercad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ckcontent.com/br/blog/5-forcas-de-porter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mper.com.br/blog/monitoramento-redes-sociai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activecampaign.com/br/blog/crm-gestao-relacionamento-clien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trategiadeconteudo.com.br/marketing/ferramentas-essenciais-para-analise-e-estrategia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2146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morais</dc:creator>
  <cp:lastModifiedBy>Camila morais</cp:lastModifiedBy>
  <cp:revision>2</cp:revision>
  <cp:lastPrinted>2024-09-25T14:27:00Z</cp:lastPrinted>
  <dcterms:created xsi:type="dcterms:W3CDTF">2024-10-01T14:51:00Z</dcterms:created>
  <dcterms:modified xsi:type="dcterms:W3CDTF">2024-10-01T14:51:00Z</dcterms:modified>
</cp:coreProperties>
</file>