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Helvetica Neue" w:cs="Helvetica Neue" w:eastAsia="Helvetica Neue" w:hAnsi="Helvetica Neue"/>
          <w:b w:val="1"/>
          <w:bCs w:val="1"/>
          <w:u w:val="single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u w:val="single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2057400</wp:posOffset>
                </wp:positionH>
                <wp:positionV relativeFrom="margin">
                  <wp:posOffset>445354</wp:posOffset>
                </wp:positionV>
                <wp:extent cx="18288" cy="795278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764850" y="742600"/>
                          <a:ext cx="0" cy="226110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2057400</wp:posOffset>
                </wp:positionH>
                <wp:positionV relativeFrom="margin">
                  <wp:posOffset>445354</wp:posOffset>
                </wp:positionV>
                <wp:extent cx="18288" cy="795278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88" cy="79527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122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220"/>
        <w:tblGridChange w:id="0">
          <w:tblGrid>
            <w:gridCol w:w="11220"/>
          </w:tblGrid>
        </w:tblGridChange>
      </w:tblGrid>
      <w:tr>
        <w:trPr>
          <w:cantSplit w:val="0"/>
          <w:trHeight w:val="161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1947863</wp:posOffset>
                  </wp:positionH>
                  <wp:positionV relativeFrom="paragraph">
                    <wp:posOffset>61914</wp:posOffset>
                  </wp:positionV>
                  <wp:extent cx="547242" cy="888146"/>
                  <wp:effectExtent b="0" l="0" r="0" t="0"/>
                  <wp:wrapNone/>
                  <wp:docPr id="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242" cy="88814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2876550</wp:posOffset>
                  </wp:positionH>
                  <wp:positionV relativeFrom="paragraph">
                    <wp:posOffset>180975</wp:posOffset>
                  </wp:positionV>
                  <wp:extent cx="2472630" cy="742950"/>
                  <wp:effectExtent b="0" l="0" r="0" t="0"/>
                  <wp:wrapNone/>
                  <wp:docPr id="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30" cy="742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Rua Capitão Francisco Pedro, 1290 - Rodolfo Teófilo - Fortaleza/CE</w:t>
            </w:r>
          </w:p>
          <w:p w:rsidR="00000000" w:rsidDel="00000000" w:rsidP="00000000" w:rsidRDefault="00000000" w:rsidRPr="00000000" w14:paraId="00000009">
            <w:pPr>
              <w:jc w:val="left"/>
              <w:rPr>
                <w:rFonts w:ascii="Helvetica Neue" w:cs="Helvetica Neue" w:eastAsia="Helvetica Neue" w:hAnsi="Helvetica Neue"/>
                <w:b w:val="1"/>
                <w:bCs w:val="1"/>
                <w:sz w:val="56"/>
                <w:szCs w:val="5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4"/>
                <w:szCs w:val="24"/>
                <w:rtl w:val="0"/>
              </w:rPr>
              <w:t xml:space="preserve">SERVIÇO DE ENDOCRINOLOGIA</w:t>
            </w:r>
          </w:p>
          <w:p w:rsidR="00000000" w:rsidDel="00000000" w:rsidP="00000000" w:rsidRDefault="00000000" w:rsidRPr="00000000" w14:paraId="0000000B">
            <w:pPr>
              <w:jc w:val="left"/>
              <w:rPr>
                <w:rFonts w:ascii="Helvetica Neue" w:cs="Helvetica Neue" w:eastAsia="Helvetica Neue" w:hAnsi="Helvetica Neue"/>
                <w:b w:val="1"/>
                <w:bCs w:val="1"/>
                <w:sz w:val="2"/>
                <w:szCs w:val="2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LAUDO MÉDICO</w:t>
            </w:r>
          </w:p>
          <w:p w:rsidR="00000000" w:rsidDel="00000000" w:rsidP="00000000" w:rsidRDefault="00000000" w:rsidRPr="00000000" w14:paraId="0000000D">
            <w:pPr>
              <w:ind w:right="-30"/>
              <w:rPr>
                <w:rFonts w:ascii="Helvetica Neue" w:cs="Helvetica Neue" w:eastAsia="Helvetica Neue" w:hAnsi="Helvetica Neue"/>
                <w:b w:val="1"/>
                <w:bCs w:val="1"/>
                <w:sz w:val="56"/>
                <w:szCs w:val="5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ind w:left="450" w:right="510" w:firstLine="810"/>
              <w:jc w:val="both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4"/>
                <w:szCs w:val="24"/>
                <w:rtl w:val="0"/>
              </w:rPr>
              <w:t xml:space="preserve">Atesto para os devidos fins que DAVID KEVEN NOBRE DE MENEZES, 24 anos, é acompanhado no serviço de Endocrinologia do Hospital Universitário Walter Cantídio devido ao diagnóstico de OSTEOGÊNESE IMPERFEITA (CID Q78.0).</w:t>
            </w:r>
          </w:p>
          <w:p w:rsidR="00000000" w:rsidDel="00000000" w:rsidP="00000000" w:rsidRDefault="00000000" w:rsidRPr="00000000" w14:paraId="0000000F">
            <w:pPr>
              <w:ind w:left="450" w:right="510" w:firstLine="810"/>
              <w:jc w:val="both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4"/>
                <w:szCs w:val="24"/>
                <w:rtl w:val="0"/>
              </w:rPr>
              <w:t xml:space="preserve">Faz uso regular de alendronato de sódio 70 mg/semana e Carbonato de cálcio 600 mg + vitamina D 400 UI 02 cps ao dia. Já fez uso de pamidronato de 2003 a 2017. O quadro clínico consiste em fragilidade óssea e alto risco de fraturas, podendo ocorrer fraturas ameaçadoras à vida, como em vértebra ou em fêmur. Portanto, está contra-indicado qualquer atividade laboral que o coloque em risco de traumatismo.</w:t>
            </w:r>
          </w:p>
          <w:p w:rsidR="00000000" w:rsidDel="00000000" w:rsidP="00000000" w:rsidRDefault="00000000" w:rsidRPr="00000000" w14:paraId="00000010">
            <w:pPr>
              <w:ind w:left="630" w:right="511.3636363636351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ind w:left="630" w:right="511.3636363636351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ind w:left="0" w:right="511.3636363636351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ind w:left="0" w:right="511.3636363636351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ind w:left="0" w:right="511.3636363636351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ind w:left="450" w:right="511.3636363636351" w:firstLine="0"/>
              <w:jc w:val="both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4"/>
                <w:szCs w:val="24"/>
                <w:rtl w:val="0"/>
              </w:rPr>
              <w:t xml:space="preserve">Fortaleza, 26 de maio de 2026</w:t>
            </w:r>
          </w:p>
          <w:p w:rsidR="00000000" w:rsidDel="00000000" w:rsidP="00000000" w:rsidRDefault="00000000" w:rsidRPr="00000000" w14:paraId="00000016">
            <w:pPr>
              <w:ind w:left="630" w:right="511.3636363636351" w:firstLine="0"/>
              <w:jc w:val="both"/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ind w:left="630" w:right="511.3636363636351" w:firstLine="0"/>
              <w:jc w:val="both"/>
              <w:rPr>
                <w:rFonts w:ascii="Helvetica Neue" w:cs="Helvetica Neue" w:eastAsia="Helvetica Neue" w:hAnsi="Helvetica Neue"/>
                <w:sz w:val="94"/>
                <w:szCs w:val="9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ind w:left="0" w:right="511.3636363636351" w:firstLine="0"/>
              <w:jc w:val="center"/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0"/>
                <w:szCs w:val="20"/>
              </w:rPr>
              <mc:AlternateContent>
                <mc:Choice Requires="wpg">
                  <w:drawing>
                    <wp:inline distB="114300" distT="114300" distL="114300" distR="114300">
                      <wp:extent cx="2569464" cy="9144"/>
                      <wp:effectExtent b="0" l="0" r="0" t="0"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058150" y="1413925"/>
                                <a:ext cx="32721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1905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drawing>
                    <wp:inline distB="114300" distT="114300" distL="114300" distR="114300">
                      <wp:extent cx="2569464" cy="9144"/>
                      <wp:effectExtent b="0" l="0" r="0" t="0"/>
                      <wp:docPr id="1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569464" cy="914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0" w:right="511.3636363636351" w:firstLine="0"/>
              <w:jc w:val="center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4"/>
                <w:szCs w:val="24"/>
                <w:rtl w:val="0"/>
              </w:rPr>
              <w:t xml:space="preserve">Endocrinologia e Metabologia HUWC/UFC</w:t>
            </w:r>
          </w:p>
        </w:tc>
      </w:tr>
    </w:tbl>
    <w:p w:rsidR="00000000" w:rsidDel="00000000" w:rsidP="00000000" w:rsidRDefault="00000000" w:rsidRPr="00000000" w14:paraId="0000001A">
      <w:pPr>
        <w:jc w:val="left"/>
        <w:rPr>
          <w:rFonts w:ascii="Helvetica Neue" w:cs="Helvetica Neue" w:eastAsia="Helvetica Neue" w:hAnsi="Helvetica Neue"/>
          <w:b w:val="1"/>
          <w:bCs w:val="1"/>
          <w:sz w:val="8"/>
          <w:szCs w:val="8"/>
          <w:u w:val="singl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