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Helvetica Neue" w:cs="Helvetica Neue" w:eastAsia="Helvetica Neue" w:hAnsi="Helvetica Neue"/>
          <w:b w:val="1"/>
          <w:bCs w:val="1"/>
          <w:u w:val="singl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u w:val="single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margin">
                  <wp:posOffset>2057400</wp:posOffset>
                </wp:positionH>
                <wp:positionV relativeFrom="margin">
                  <wp:posOffset>445354</wp:posOffset>
                </wp:positionV>
                <wp:extent cx="18288" cy="795278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764850" y="742600"/>
                          <a:ext cx="0" cy="2261100"/>
                        </a:xfrm>
                        <a:prstGeom prst="straightConnector1">
                          <a:avLst/>
                        </a:prstGeom>
                        <a:noFill/>
                        <a:ln cap="flat" cmpd="sng" w="3810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margin">
                  <wp:posOffset>2057400</wp:posOffset>
                </wp:positionH>
                <wp:positionV relativeFrom="margin">
                  <wp:posOffset>445354</wp:posOffset>
                </wp:positionV>
                <wp:extent cx="18288" cy="795278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" cy="79527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1152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20"/>
        <w:tblGridChange w:id="0">
          <w:tblGrid>
            <w:gridCol w:w="11520"/>
          </w:tblGrid>
        </w:tblGridChange>
      </w:tblGrid>
      <w:tr>
        <w:trPr>
          <w:cantSplit w:val="0"/>
          <w:trHeight w:val="151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1947863</wp:posOffset>
                  </wp:positionH>
                  <wp:positionV relativeFrom="paragraph">
                    <wp:posOffset>61914</wp:posOffset>
                  </wp:positionV>
                  <wp:extent cx="547242" cy="888146"/>
                  <wp:effectExtent b="0" l="0" r="0" t="0"/>
                  <wp:wrapNone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242" cy="8881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2876550</wp:posOffset>
                  </wp:positionH>
                  <wp:positionV relativeFrom="paragraph">
                    <wp:posOffset>180975</wp:posOffset>
                  </wp:positionV>
                  <wp:extent cx="2472630" cy="742950"/>
                  <wp:effectExtent b="0" l="0" r="0" t="0"/>
                  <wp:wrapNone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2630" cy="742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jc w:val="center"/>
              <w:rPr>
                <w:rFonts w:ascii="Helvetica Neue" w:cs="Helvetica Neue" w:eastAsia="Helvetica Neue" w:hAnsi="Helvetica Neue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Rua Capitão Francisco Pedro, 1290 - Rodolfo Teófilo - Fortaleza/CE</w:t>
            </w:r>
          </w:p>
          <w:p w:rsidR="00000000" w:rsidDel="00000000" w:rsidP="00000000" w:rsidRDefault="00000000" w:rsidRPr="00000000" w14:paraId="00000009">
            <w:pPr>
              <w:jc w:val="left"/>
              <w:rPr>
                <w:rFonts w:ascii="Helvetica Neue" w:cs="Helvetica Neue" w:eastAsia="Helvetica Neue" w:hAnsi="Helvetica Neue"/>
                <w:b w:val="1"/>
                <w:bCs w:val="1"/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center"/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SERVIÇO DE ENDOCRINOLOGIA</w:t>
            </w:r>
          </w:p>
          <w:p w:rsidR="00000000" w:rsidDel="00000000" w:rsidP="00000000" w:rsidRDefault="00000000" w:rsidRPr="00000000" w14:paraId="0000000B">
            <w:pPr>
              <w:jc w:val="left"/>
              <w:rPr>
                <w:rFonts w:ascii="Helvetica Neue" w:cs="Helvetica Neue" w:eastAsia="Helvetica Neue" w:hAnsi="Helvetica Neue"/>
                <w:b w:val="1"/>
                <w:bCs w:val="1"/>
                <w:sz w:val="2"/>
                <w:szCs w:val="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LAUDO MÉDICO</w:t>
            </w:r>
          </w:p>
          <w:p w:rsidR="00000000" w:rsidDel="00000000" w:rsidP="00000000" w:rsidRDefault="00000000" w:rsidRPr="00000000" w14:paraId="0000000D">
            <w:pPr>
              <w:ind w:right="-30"/>
              <w:rPr>
                <w:rFonts w:ascii="Helvetica Neue" w:cs="Helvetica Neue" w:eastAsia="Helvetica Neue" w:hAnsi="Helvetica Neue"/>
                <w:b w:val="1"/>
                <w:bCs w:val="1"/>
                <w:sz w:val="56"/>
                <w:szCs w:val="5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ind w:left="450" w:right="510" w:firstLine="810"/>
              <w:jc w:val="both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Atesto para os devidos fins que DAVID KEVEN NOBRE DE MENEZES, 24 anos, é acompanhado no serviço de Endocrinologia do Hospital Universitário Walter Cantídio devido ao diagnóstico de OSTEOGÊNESE IMPERFEITA (CID Q78.0).</w:t>
            </w:r>
          </w:p>
          <w:p w:rsidR="00000000" w:rsidDel="00000000" w:rsidP="00000000" w:rsidRDefault="00000000" w:rsidRPr="00000000" w14:paraId="0000000F">
            <w:pPr>
              <w:ind w:left="450" w:right="510" w:firstLine="810"/>
              <w:jc w:val="both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Faz uso regular de alendronato de sódio 70 mg/semana e Carbonato de cálcio 600 mg + vitamina D 400 UI 02 cps ao dia. Já fez uso de pamidronato de 2003 a 2017. O quadro clínico consiste em fragilidade óssea e alto risco de fraturas, podendo ocorrer fraturas ameaçadoras à vida, como em vértebra ou em fêmur. Portanto, está contra-indicado qualquer atividade laboral que o coloque em risco de traumatismo.</w:t>
            </w:r>
          </w:p>
          <w:p w:rsidR="00000000" w:rsidDel="00000000" w:rsidP="00000000" w:rsidRDefault="00000000" w:rsidRPr="00000000" w14:paraId="00000010">
            <w:pPr>
              <w:ind w:left="630" w:right="511.3636363636351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ind w:left="630" w:right="511.3636363636351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ind w:left="0" w:right="511.3636363636351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ind w:left="0" w:right="511.3636363636351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ind w:left="0" w:right="511.3636363636351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ind w:left="450" w:right="511.3636363636351" w:firstLine="0"/>
              <w:jc w:val="both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Fortaleza, 26 de maio de 2026</w:t>
            </w:r>
          </w:p>
          <w:p w:rsidR="00000000" w:rsidDel="00000000" w:rsidP="00000000" w:rsidRDefault="00000000" w:rsidRPr="00000000" w14:paraId="00000016">
            <w:pPr>
              <w:ind w:left="630" w:right="511.3636363636351" w:firstLine="0"/>
              <w:jc w:val="both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ind w:left="630" w:right="511.3636363636351" w:firstLine="0"/>
              <w:jc w:val="both"/>
              <w:rPr>
                <w:rFonts w:ascii="Helvetica Neue" w:cs="Helvetica Neue" w:eastAsia="Helvetica Neue" w:hAnsi="Helvetica Neue"/>
                <w:sz w:val="94"/>
                <w:szCs w:val="9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ind w:left="0" w:right="511.3636363636351" w:firstLine="0"/>
              <w:jc w:val="center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</w:rPr>
              <mc:AlternateContent>
                <mc:Choice Requires="wpg">
                  <w:drawing>
                    <wp:inline distB="114300" distT="114300" distL="114300" distR="114300">
                      <wp:extent cx="2569464" cy="9144"/>
                      <wp:effectExtent b="0" l="0" r="0" t="0"/>
                      <wp:docPr id="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2058150" y="1413925"/>
                                <a:ext cx="32721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905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2569464" cy="9144"/>
                      <wp:effectExtent b="0" l="0" r="0" t="0"/>
                      <wp:docPr id="1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69464" cy="914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ind w:left="0" w:right="511.3636363636351" w:firstLine="0"/>
              <w:jc w:val="center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Endocrinologia e Metabologia HUWC/UFC</w:t>
            </w:r>
          </w:p>
        </w:tc>
      </w:tr>
    </w:tbl>
    <w:p w:rsidR="00000000" w:rsidDel="00000000" w:rsidP="00000000" w:rsidRDefault="00000000" w:rsidRPr="00000000" w14:paraId="0000001A">
      <w:pPr>
        <w:jc w:val="left"/>
        <w:rPr>
          <w:rFonts w:ascii="Helvetica Neue" w:cs="Helvetica Neue" w:eastAsia="Helvetica Neue" w:hAnsi="Helvetica Neue"/>
          <w:b w:val="1"/>
          <w:bCs w:val="1"/>
          <w:sz w:val="8"/>
          <w:szCs w:val="8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0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