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recent-changes.md — maintenance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Numbering convention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Adding a new entry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Section template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NN) One-line, title-case heading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Anchor conventions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Keeping the TOC + summary table in sync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DO NOT run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fix-docs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this file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Regenerating the DOCX corpus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Sorting discipline</w:t>
        </w:r>
      </w:hyperlink>
    </w:p>
    <w:p>
      <w:pPr>
        <w:pStyle w:val="FirstParagraph"/>
      </w:pPr>
      <w:r>
        <w:t xml:space="preserve">How to keep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 </w:t>
      </w:r>
      <w:r>
        <w:t xml:space="preserve">(the repo-wide changelog at the project root)</w:t>
      </w:r>
      <w:r>
        <w:t xml:space="preserve"> </w:t>
      </w:r>
      <w:r>
        <w:t xml:space="preserve">ordered, contiguous, and link-valid, and how to regenerate its Word DOCX.</w:t>
      </w:r>
    </w:p>
    <w:bookmarkEnd w:id="9"/>
    <w:bookmarkStart w:id="10" w:name="sec3"/>
    <w:p>
      <w:pPr>
        <w:pStyle w:val="Heading2"/>
      </w:pPr>
      <w:r>
        <w:t xml:space="preserve">Numbering convention</w:t>
      </w:r>
    </w:p>
    <w:p>
      <w:pPr>
        <w:pStyle w:val="Compact"/>
        <w:numPr>
          <w:ilvl w:val="0"/>
          <w:numId w:val="1003"/>
        </w:numPr>
      </w:pPr>
      <w:r>
        <w:t xml:space="preserve">Sections are numbered</w:t>
      </w:r>
      <w:r>
        <w:t xml:space="preserve"> </w:t>
      </w:r>
      <w:r>
        <w:rPr>
          <w:b/>
          <w:bCs/>
        </w:rPr>
        <w:t xml:space="preserve">contiguously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1..N</w:t>
      </w:r>
      <w:r>
        <w:rPr>
          <w:b/>
          <w:bCs/>
        </w:rPr>
        <w:t xml:space="preserve"> </w:t>
      </w:r>
      <w:r>
        <w:rPr>
          <w:b/>
          <w:bCs/>
        </w:rPr>
        <w:t xml:space="preserve">and stored in reverse-chronological order</w:t>
      </w:r>
      <w:r>
        <w:t xml:space="preserve">: the</w:t>
      </w:r>
      <w:r>
        <w:t xml:space="preserve"> </w:t>
      </w:r>
      <w:r>
        <w:rPr>
          <w:b/>
          <w:bCs/>
        </w:rPr>
        <w:t xml:space="preserve">newest</w:t>
      </w:r>
      <w:r>
        <w:t xml:space="preserve"> </w:t>
      </w:r>
      <w:r>
        <w:t xml:space="preserve">change is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(highest number, at the top) and the</w:t>
      </w:r>
      <w:r>
        <w:t xml:space="preserve"> </w:t>
      </w:r>
      <w:r>
        <w:rPr>
          <w:b/>
          <w:bCs/>
        </w:rPr>
        <w:t xml:space="preserve">oldest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§1</w:t>
      </w:r>
      <w:r>
        <w:t xml:space="preserve"> </w:t>
      </w:r>
      <w:r>
        <w:t xml:space="preserve">(at the bottom).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in each section’s</w:t>
      </w:r>
      <w:r>
        <w:t xml:space="preserve"> </w:t>
      </w:r>
      <w:r>
        <w:rPr>
          <w:rStyle w:val="VerbatimChar"/>
        </w:rPr>
        <w:t xml:space="preserve">| Date | … | Author |</w:t>
      </w:r>
      <w:r>
        <w:t xml:space="preserve"> </w:t>
      </w:r>
      <w:r>
        <w:t xml:space="preserve">row is the source of truth for ordering. Numbers must follow that order — i.e. strictly descending in the file.</w:t>
      </w:r>
    </w:p>
    <w:p>
      <w:pPr>
        <w:pStyle w:val="Compact"/>
        <w:numPr>
          <w:ilvl w:val="0"/>
          <w:numId w:val="1003"/>
        </w:numPr>
      </w:pPr>
      <w:r>
        <w:t xml:space="preserve">If a section is ever deleted,</w:t>
      </w:r>
      <w:r>
        <w:t xml:space="preserve"> </w:t>
      </w:r>
      <w:r>
        <w:rPr>
          <w:b/>
          <w:bCs/>
        </w:rPr>
        <w:t xml:space="preserve">renumber</w:t>
      </w:r>
      <w:r>
        <w:t xml:space="preserve"> </w:t>
      </w:r>
      <w:r>
        <w:t xml:space="preserve">the remaining ones so the sequence stays</w:t>
      </w:r>
      <w:r>
        <w:t xml:space="preserve"> </w:t>
      </w:r>
      <w:r>
        <w:rPr>
          <w:rStyle w:val="VerbatimChar"/>
        </w:rPr>
        <w:t xml:space="preserve">32, 31, …, 2, 1</w:t>
      </w:r>
      <w:r>
        <w:t xml:space="preserve"> </w:t>
      </w:r>
      <w:r>
        <w:t xml:space="preserve">with no gaps. A gap is what makes the PO ask</w:t>
      </w:r>
      <w:r>
        <w:t xml:space="preserve"> </w:t>
      </w:r>
      <w:r>
        <w:t xml:space="preserve">“where’s §15?”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Adding a new entry</w:t>
      </w:r>
    </w:p>
    <w:p>
      <w:pPr>
        <w:pStyle w:val="Compact"/>
        <w:numPr>
          <w:ilvl w:val="0"/>
          <w:numId w:val="1004"/>
        </w:numPr>
      </w:pPr>
      <w:r>
        <w:t xml:space="preserve">Insert the new section as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(newest first).</w:t>
      </w:r>
    </w:p>
    <w:p>
      <w:pPr>
        <w:pStyle w:val="Compact"/>
        <w:numPr>
          <w:ilvl w:val="0"/>
          <w:numId w:val="1004"/>
        </w:numPr>
      </w:pPr>
      <w:r>
        <w:t xml:space="preserve">Number it</w:t>
      </w:r>
      <w:r>
        <w:t xml:space="preserve"> </w:t>
      </w:r>
      <w:r>
        <w:rPr>
          <w:b/>
          <w:bCs/>
        </w:rPr>
        <w:t xml:space="preserve">current max + 1</w:t>
      </w:r>
      <w:r>
        <w:t xml:space="preserve"> </w:t>
      </w:r>
      <w:r>
        <w:t xml:space="preserve">(e.g. after §32 → §33).</w:t>
      </w:r>
    </w:p>
    <w:p>
      <w:pPr>
        <w:pStyle w:val="Compact"/>
        <w:numPr>
          <w:ilvl w:val="0"/>
          <w:numId w:val="1004"/>
        </w:numPr>
      </w:pPr>
      <w:r>
        <w:t xml:space="preserve">Date it today; put it first in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too.</w:t>
      </w:r>
    </w:p>
    <w:p>
      <w:pPr>
        <w:pStyle w:val="Compact"/>
        <w:numPr>
          <w:ilvl w:val="0"/>
          <w:numId w:val="1004"/>
        </w:numPr>
      </w:pPr>
      <w:r>
        <w:t xml:space="preserve">Update any narrative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cross-references in older entries if their numbers shifted.</w:t>
      </w:r>
    </w:p>
    <w:bookmarkEnd w:id="11"/>
    <w:bookmarkStart w:id="12" w:name="sec5"/>
    <w:p>
      <w:pPr>
        <w:pStyle w:val="Heading2"/>
      </w:pPr>
      <w:r>
        <w:t xml:space="preserve">Section template</w:t>
      </w:r>
    </w:p>
    <w:p>
      <w:pPr>
        <w:pStyle w:val="SourceCode"/>
      </w:pPr>
      <w:r>
        <w:br/>
      </w:r>
      <w:r>
        <w:br/>
      </w:r>
      <w:r>
        <w:rPr>
          <w:rStyle w:val="FunctionTok"/>
        </w:rPr>
        <w:t xml:space="preserve">### NN) One-line, title-case heading {#sec6}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| **Change description summary** | **Author**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2026-09-03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Concise bullet summary of what + why (≤ 1 line, no prose wrap).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 Everall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br/>
      </w:r>
      <w:r>
        <w:br/>
      </w:r>
      <w:r>
        <w:rPr>
          <w:rStyle w:val="FunctionTok"/>
        </w:rPr>
        <w:t xml:space="preserve">#### Root cause {#sec7}</w:t>
      </w:r>
      <w:r>
        <w:br/>
      </w:r>
      <w:r>
        <w:br/>
      </w:r>
      <w:r>
        <w:rPr>
          <w:rStyle w:val="NormalTok"/>
        </w:rPr>
        <w:t xml:space="preserve">What was broken / what assumption was wrong.</w:t>
      </w:r>
      <w:r>
        <w:br/>
      </w:r>
      <w:r>
        <w:br/>
      </w:r>
      <w:r>
        <w:br/>
      </w:r>
      <w:r>
        <w:rPr>
          <w:rStyle w:val="FunctionTok"/>
        </w:rPr>
        <w:t xml:space="preserve">#### Fix {#sec8}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**`affected/file.ext`** — what changed, how, and why this resolves it.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Keep bullets parallel: file/area first, then change + rationale.</w:t>
      </w:r>
      <w:r>
        <w:br/>
      </w:r>
      <w:r>
        <w:br/>
      </w:r>
      <w:r>
        <w:br/>
      </w:r>
      <w:r>
        <w:rPr>
          <w:rStyle w:val="FunctionTok"/>
        </w:rPr>
        <w:t xml:space="preserve">#### Verification {#sec9}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Concrete checks: test counts, parser passes, regenerated artifacts, lint.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NN</w:t>
      </w:r>
      <w:r>
        <w:t xml:space="preserve"> </w:t>
      </w:r>
      <w:r>
        <w:t xml:space="preserve">is the section number;</w:t>
      </w:r>
      <w:r>
        <w:t xml:space="preserve"> </w:t>
      </w:r>
      <w:r>
        <w:rPr>
          <w:rStyle w:val="VerbatimChar"/>
        </w:rPr>
        <w:t xml:space="preserve">&lt;slug&gt;</w:t>
      </w:r>
      <w:r>
        <w:t xml:space="preserve"> </w:t>
      </w:r>
      <w:r>
        <w:t xml:space="preserve">is the heading lower-cased, spaces →</w:t>
      </w:r>
      <w:r>
        <w:t xml:space="preserve"> </w:t>
      </w:r>
      <w:r>
        <w:rPr>
          <w:rStyle w:val="VerbatimChar"/>
        </w:rPr>
        <w:t xml:space="preserve">-</w:t>
      </w:r>
      <w:r>
        <w:t xml:space="preserve">, punctuation stripped (matches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the first table in the section — it feeds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and the ordering. Without it the entry is unsorted/orphaned (this is exactly how §30 slipped to the bottom once).</w:t>
      </w:r>
    </w:p>
    <w:bookmarkEnd w:id="12"/>
    <w:bookmarkStart w:id="13" w:name="sec10"/>
    <w:p>
      <w:pPr>
        <w:pStyle w:val="Heading2"/>
      </w:pPr>
      <w:r>
        <w:t xml:space="preserve">Anchor conventions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 anchor</w:t>
      </w:r>
      <w:r>
        <w:t xml:space="preserve"> </w:t>
      </w:r>
      <w:r>
        <w:t xml:space="preserve">(above the heading):</w:t>
      </w:r>
      <w:r>
        <w:t xml:space="preserve"> </w:t>
      </w:r>
      <w:r>
        <w:rPr>
          <w:rStyle w:val="VerbatimChar"/>
        </w:rPr>
        <w:t xml:space="preserve">&lt;a id="NN-&lt;slug&gt;"&gt;&lt;/a&gt;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Sub-anchors</w:t>
      </w:r>
      <w:r>
        <w:t xml:space="preserve"> </w:t>
      </w:r>
      <w:r>
        <w:t xml:space="preserve">(above each</w:t>
      </w:r>
      <w:r>
        <w:t xml:space="preserve"> </w:t>
      </w:r>
      <w:r>
        <w:rPr>
          <w:rStyle w:val="VerbatimChar"/>
        </w:rPr>
        <w:t xml:space="preserve">####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name="caveats-NN"&gt;</w:t>
      </w:r>
      <w:r>
        <w:t xml:space="preserve">, and any custom ones (</w:t>
      </w:r>
      <w:r>
        <w:rPr>
          <w:rStyle w:val="VerbatimChar"/>
        </w:rPr>
        <w:t xml:space="preserve">scope-NN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commands-NN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callers-NN</w:t>
      </w:r>
      <w:r>
        <w:t xml:space="preserve">, etc.). The trailing number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equal the section number — rename both together when renumbering.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links</w:t>
      </w:r>
      <w:r>
        <w:t xml:space="preserve"> </w:t>
      </w:r>
      <w:r>
        <w:t xml:space="preserve">use these exact ids;</w:t>
      </w:r>
      <w:r>
        <w:t xml:space="preserve"> </w:t>
      </w:r>
      <w:r>
        <w:rPr>
          <w:rStyle w:val="VerbatimChar"/>
        </w:rPr>
        <w:t xml:space="preserve">[NN) Title](#nn-slug)</w:t>
      </w:r>
      <w:r>
        <w:t xml:space="preserve"> </w:t>
      </w:r>
      <w:r>
        <w:t xml:space="preserve">in the TOC and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in sub-anchors.</w:t>
      </w:r>
    </w:p>
    <w:p>
      <w:pPr>
        <w:pStyle w:val="Compact"/>
        <w:numPr>
          <w:ilvl w:val="0"/>
          <w:numId w:val="1006"/>
        </w:numPr>
      </w:pPr>
      <w:r>
        <w:t xml:space="preserve">Headings themselves are</w:t>
      </w:r>
      <w:r>
        <w:t xml:space="preserve"> </w:t>
      </w:r>
      <w:r>
        <w:rPr>
          <w:rStyle w:val="VerbatimChar"/>
        </w:rPr>
        <w:t xml:space="preserve">### NN) …</w:t>
      </w:r>
      <w:r>
        <w:t xml:space="preserve">. Keep the</w:t>
      </w:r>
      <w:r>
        <w:t xml:space="preserve"> </w:t>
      </w:r>
      <w:r>
        <w:rPr>
          <w:rStyle w:val="VerbatimChar"/>
        </w:rPr>
        <w:t xml:space="preserve">NN)</w:t>
      </w:r>
      <w:r>
        <w:t xml:space="preserve"> </w:t>
      </w:r>
      <w:r>
        <w:t xml:space="preserve">prefix and the closing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— the TOC generator (and readers) key on it.</w:t>
      </w:r>
    </w:p>
    <w:bookmarkEnd w:id="13"/>
    <w:bookmarkStart w:id="14" w:name="sec11"/>
    <w:p>
      <w:pPr>
        <w:pStyle w:val="Heading2"/>
      </w:pPr>
      <w:r>
        <w:t xml:space="preserve">Keeping the TOC + summary table in sync</w:t>
      </w:r>
    </w:p>
    <w:p>
      <w:pPr>
        <w:pStyle w:val="FirstParagraph"/>
      </w:pPr>
      <w:r>
        <w:t xml:space="preserve">Two hand-maintained blocks reference every section by number: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Table of Contents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 [NN) Title](#nn-slug)</w:t>
      </w:r>
      <w:r>
        <w:t xml:space="preserve"> </w:t>
      </w:r>
      <w:r>
        <w:t xml:space="preserve">per entry, newest first.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Summary of changes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 per entry, newest first.</w:t>
      </w:r>
    </w:p>
    <w:p>
      <w:pPr>
        <w:pStyle w:val="FirstParagraph"/>
      </w:pPr>
      <w:r>
        <w:t xml:space="preserve">When you add or renumber a section,</w:t>
      </w:r>
      <w:r>
        <w:t xml:space="preserve"> </w:t>
      </w:r>
      <w:r>
        <w:rPr>
          <w:b/>
          <w:bCs/>
        </w:rPr>
        <w:t xml:space="preserve">update both blocks</w:t>
      </w:r>
      <w:r>
        <w:t xml:space="preserve"> </w:t>
      </w:r>
      <w:r>
        <w:t xml:space="preserve">in the same pass (same position, same number). They are NOT auto-regenerated by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for this file (see below).</w:t>
      </w:r>
    </w:p>
    <w:bookmarkEnd w:id="14"/>
    <w:bookmarkStart w:id="15" w:name="sec12"/>
    <w:p>
      <w:pPr>
        <w:pStyle w:val="Heading2"/>
      </w:pPr>
      <w:r>
        <w:t xml:space="preserve">DO NOT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on this file</w:t>
      </w:r>
    </w:p>
    <w:p>
      <w:pPr>
        <w:pStyle w:val="FirstParagraph"/>
      </w:pPr>
      <w:r>
        <w:rPr>
          <w:rStyle w:val="VerbatimChar"/>
        </w:rPr>
        <w:t xml:space="preserve">make fix-docs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bitbucket-md-anchor-toc.ps1</w:t>
      </w:r>
      <w:r>
        <w:t xml:space="preserve">, which is a validator/fixer that:</w:t>
      </w:r>
    </w:p>
    <w:p>
      <w:pPr>
        <w:pStyle w:val="Compact"/>
        <w:numPr>
          <w:ilvl w:val="0"/>
          <w:numId w:val="1008"/>
        </w:numPr>
      </w:pPr>
      <w:r>
        <w:t xml:space="preserve">expects exactly one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per file and anchors above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H2</w:t>
      </w:r>
      <w:r>
        <w:t xml:space="preserve">/</w:t>
      </w:r>
      <w:r>
        <w:rPr>
          <w:rStyle w:val="VerbatimChar"/>
        </w:rPr>
        <w:t xml:space="preserve">H3</w:t>
      </w:r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appends its own auto-generated TOC/nested headings.</w:t>
      </w:r>
    </w:p>
    <w:p>
      <w:pPr>
        <w:pStyle w:val="FirstParagraph"/>
      </w:pPr>
      <w:r>
        <w:rPr>
          <w:rStyle w:val="VerbatimChar"/>
        </w:rPr>
        <w:t xml:space="preserve">recent-changes.md</w:t>
      </w:r>
      <w:r>
        <w:t xml:space="preserve"> </w:t>
      </w:r>
      <w:r>
        <w:t xml:space="preserve">uses a</w:t>
      </w:r>
      <w:r>
        <w:t xml:space="preserve"> </w:t>
      </w:r>
      <w:r>
        <w:rPr>
          <w:b/>
          <w:bCs/>
        </w:rPr>
        <w:t xml:space="preserve">hand-maintained</w:t>
      </w:r>
      <w:r>
        <w:t xml:space="preserve"> </w:t>
      </w:r>
      <w:r>
        <w:t xml:space="preserve">flat TOC plus manually-numbered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sub-anchors (not heading-derived ids), so running</w:t>
      </w:r>
      <w:r>
        <w:t xml:space="preserve"> </w:t>
      </w:r>
      <w:r>
        <w:rPr>
          <w:rStyle w:val="VerbatimChar"/>
        </w:rPr>
        <w:t xml:space="preserve">add-anchors</w:t>
      </w:r>
      <w:r>
        <w:t xml:space="preserve"> </w:t>
      </w:r>
      <w:r>
        <w:t xml:space="preserve">here produces a</w:t>
      </w:r>
      <w:r>
        <w:t xml:space="preserve"> </w:t>
      </w:r>
      <w:r>
        <w:rPr>
          <w:b/>
          <w:bCs/>
        </w:rPr>
        <w:t xml:space="preserve">duplicate, stale auto-TOC</w:t>
      </w:r>
      <w:r>
        <w:t xml:space="preserve"> </w:t>
      </w:r>
      <w:r>
        <w:t xml:space="preserve">with broken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(e.g. </w:t>
      </w:r>
      <w:r>
        <w:rPr>
          <w:rStyle w:val="VerbatimChar"/>
        </w:rPr>
        <w:t xml:space="preserve">#root-cause-3</w:t>
      </w:r>
      <w:r>
        <w:t xml:space="preserve">). Instead:</w:t>
      </w:r>
    </w:p>
    <w:p>
      <w:pPr>
        <w:pStyle w:val="Compact"/>
        <w:numPr>
          <w:ilvl w:val="0"/>
          <w:numId w:val="1009"/>
        </w:numPr>
      </w:pPr>
      <w:r>
        <w:t xml:space="preserve">Keep the manual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block in sync by hand (per the template above).</w:t>
      </w:r>
    </w:p>
    <w:p>
      <w:pPr>
        <w:pStyle w:val="Compact"/>
        <w:numPr>
          <w:ilvl w:val="0"/>
          <w:numId w:val="1009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validate links</w:t>
      </w:r>
      <w:r>
        <w:t xml:space="preserve"> </w:t>
      </w:r>
      <w:r>
        <w:t xml:space="preserve">without rewriting the file, use the dry-run:</w:t>
      </w:r>
      <w:r>
        <w:t xml:space="preserve"> </w:t>
      </w:r>
      <w:r>
        <w:rPr>
          <w:rStyle w:val="VerbatimChar"/>
        </w:rPr>
        <w:t xml:space="preserve">make fix-docs-dryrun</w:t>
      </w:r>
      <w:r>
        <w:t xml:space="preserve">.</w:t>
      </w:r>
    </w:p>
    <w:bookmarkEnd w:id="15"/>
    <w:bookmarkStart w:id="16" w:name="sec13"/>
    <w:p>
      <w:pPr>
        <w:pStyle w:val="Heading2"/>
      </w:pPr>
      <w:r>
        <w:t xml:space="preserve">Regenerating the DOCX corpus</w:t>
      </w:r>
    </w:p>
    <w:p>
      <w:pPr>
        <w:pStyle w:val="FirstParagraph"/>
      </w:pPr>
      <w:r>
        <w:t xml:space="preserve">The Word DOCX artifacts are generated (not hand-edited):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word-docs          </w:t>
      </w:r>
      <w:r>
        <w:rPr>
          <w:rStyle w:val="CommentTok"/>
        </w:rPr>
        <w:t xml:space="preserve"># all root *.md + docs/**/*.md + wip/*.md -&gt; ./docx/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word-docs-clean    </w:t>
      </w:r>
      <w:r>
        <w:rPr>
          <w:rStyle w:val="CommentTok"/>
        </w:rPr>
        <w:t xml:space="preserve"># rm -rf docx/</w:t>
      </w:r>
    </w:p>
    <w:p>
      <w:pPr>
        <w:pStyle w:val="Compact"/>
        <w:numPr>
          <w:ilvl w:val="0"/>
          <w:numId w:val="1010"/>
        </w:numPr>
      </w:pPr>
      <w:r>
        <w:t xml:space="preserve">Output mirrors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under the project-root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prefix):</w:t>
      </w:r>
      <w:r>
        <w:t xml:space="preserve"> </w:t>
      </w:r>
      <w:r>
        <w:rPr>
          <w:rStyle w:val="VerbatimChar"/>
        </w:rPr>
        <w:t xml:space="preserve">docs/Automation/foo.md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docx/Automation/foo.docx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Root docs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, …) land at</w:t>
      </w:r>
      <w:r>
        <w:t xml:space="preserve"> </w:t>
      </w:r>
      <w:r>
        <w:rPr>
          <w:rStyle w:val="VerbatimChar"/>
        </w:rPr>
        <w:t xml:space="preserve">docx/&lt;name&gt;.docx</w:t>
      </w:r>
      <w:r>
        <w:t xml:space="preserve">.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docx/wip/SSO.docx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docx/</w:t>
      </w:r>
      <w:r>
        <w:t xml:space="preserve"> </w:t>
      </w:r>
      <w:r>
        <w:t xml:space="preserve">is not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commit the regenerated set when the changelog/docs change.</w:t>
      </w:r>
    </w:p>
    <w:bookmarkEnd w:id="16"/>
    <w:bookmarkStart w:id="17" w:name="sec14"/>
    <w:p>
      <w:pPr>
        <w:pStyle w:val="Heading2"/>
      </w:pPr>
      <w:r>
        <w:t xml:space="preserve">Sorting discipline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Order by date, not by number.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table, and 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 must all be sorted newest-first by the</w:t>
      </w:r>
      <w:r>
        <w:t xml:space="preserve"> </w:t>
      </w:r>
      <w:r>
        <w:rPr>
          <w:rStyle w:val="VerbatimChar"/>
        </w:rPr>
        <w:t xml:space="preserve">| 2026-… |</w:t>
      </w:r>
      <w:r>
        <w:t xml:space="preserve"> </w:t>
      </w:r>
      <w:r>
        <w:t xml:space="preserve">date.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Contiguous numbers</w:t>
      </w:r>
      <w:r>
        <w:t xml:space="preserve"> </w:t>
      </w:r>
      <w:r>
        <w:t xml:space="preserve">follow that order: after sorting, numbers read</w:t>
      </w:r>
      <w:r>
        <w:t xml:space="preserve"> </w:t>
      </w:r>
      <w:r>
        <w:rPr>
          <w:rStyle w:val="VerbatimChar"/>
        </w:rPr>
        <w:t xml:space="preserve">32, 31, 30, …, 2, 1</w:t>
      </w:r>
      <w:r>
        <w:t xml:space="preserve"> </w:t>
      </w:r>
      <w:r>
        <w:t xml:space="preserve">top-to-bottom. If they don’t, renumber.</w:t>
      </w:r>
    </w:p>
    <w:p>
      <w:pPr>
        <w:pStyle w:val="Compact"/>
        <w:numPr>
          <w:ilvl w:val="0"/>
          <w:numId w:val="1011"/>
        </w:numPr>
      </w:pPr>
      <w:r>
        <w:t xml:space="preserve">If you can’t run</w:t>
      </w:r>
      <w:r>
        <w:t xml:space="preserve"> </w:t>
      </w:r>
      <w:r>
        <w:rPr>
          <w:rStyle w:val="VerbatimChar"/>
        </w:rPr>
        <w:t xml:space="preserve">make word-docs</w:t>
      </w:r>
      <w:r>
        <w:t xml:space="preserve"> </w:t>
      </w:r>
      <w:r>
        <w:t xml:space="preserve">(pandoc not installed), the source of truth is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&lt;a id&gt;</w:t>
      </w:r>
      <w:r>
        <w:t xml:space="preserve">/</w:t>
      </w:r>
      <w:r>
        <w:rPr>
          <w:rStyle w:val="VerbatimChar"/>
        </w:rPr>
        <w:t xml:space="preserve">&lt;a name&gt;</w:t>
      </w:r>
      <w:r>
        <w:t xml:space="preserve"> </w:t>
      </w:r>
      <w:r>
        <w:t xml:space="preserve">scheme above; the DOCX is regenerated from that.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2026-09-10T09:48:15Z</dcterms:created>
  <dcterms:modified xsi:type="dcterms:W3CDTF">2026-09-10T09:48:15Z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