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recent-changes.md — maintenance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Numbering convention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Adding a new entry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Section template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NN) One-line, title-case heading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Anchor conventions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Keeping the TOC + summary table in sync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Running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fix-docs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(this is how the TOC is regenerated)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Regenerating the DOCX corpus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Sorting discipline</w:t>
        </w:r>
      </w:hyperlink>
    </w:p>
    <w:p>
      <w:pPr>
        <w:pStyle w:val="FirstParagraph"/>
      </w:pPr>
      <w:r>
        <w:t xml:space="preserve">How to keep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 </w:t>
      </w:r>
      <w:r>
        <w:t xml:space="preserve">(the repo-wide changelog at the project root)</w:t>
      </w:r>
      <w:r>
        <w:t xml:space="preserve"> </w:t>
      </w:r>
      <w:r>
        <w:t xml:space="preserve">ordered, contiguous, and link-valid, and how to regenerate its Word DOCX.</w:t>
      </w:r>
    </w:p>
    <w:bookmarkEnd w:id="9"/>
    <w:bookmarkStart w:id="10" w:name="sec3"/>
    <w:p>
      <w:pPr>
        <w:pStyle w:val="Heading2"/>
      </w:pPr>
      <w:r>
        <w:t xml:space="preserve">Numbering convention</w:t>
      </w:r>
    </w:p>
    <w:p>
      <w:pPr>
        <w:pStyle w:val="Compact"/>
        <w:numPr>
          <w:ilvl w:val="0"/>
          <w:numId w:val="1003"/>
        </w:numPr>
      </w:pPr>
      <w:r>
        <w:t xml:space="preserve">Sections are numbered</w:t>
      </w:r>
      <w:r>
        <w:t xml:space="preserve"> </w:t>
      </w:r>
      <w:r>
        <w:rPr>
          <w:b/>
          <w:bCs/>
        </w:rPr>
        <w:t xml:space="preserve">contiguously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1..N</w:t>
      </w:r>
      <w:r>
        <w:rPr>
          <w:b/>
          <w:bCs/>
        </w:rPr>
        <w:t xml:space="preserve"> </w:t>
      </w:r>
      <w:r>
        <w:rPr>
          <w:b/>
          <w:bCs/>
        </w:rPr>
        <w:t xml:space="preserve">and stored in reverse-chronological order</w:t>
      </w:r>
      <w:r>
        <w:t xml:space="preserve">: the</w:t>
      </w:r>
      <w:r>
        <w:t xml:space="preserve"> </w:t>
      </w:r>
      <w:r>
        <w:rPr>
          <w:b/>
          <w:bCs/>
        </w:rPr>
        <w:t xml:space="preserve">newest</w:t>
      </w:r>
      <w:r>
        <w:t xml:space="preserve"> </w:t>
      </w:r>
      <w:r>
        <w:t xml:space="preserve">change is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(highest number, at the top) and the</w:t>
      </w:r>
      <w:r>
        <w:t xml:space="preserve"> </w:t>
      </w:r>
      <w:r>
        <w:rPr>
          <w:b/>
          <w:bCs/>
        </w:rPr>
        <w:t xml:space="preserve">oldest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§1</w:t>
      </w:r>
      <w:r>
        <w:t xml:space="preserve"> </w:t>
      </w:r>
      <w:r>
        <w:t xml:space="preserve">(at the bottom).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in each section’s</w:t>
      </w:r>
      <w:r>
        <w:t xml:space="preserve"> </w:t>
      </w:r>
      <w:r>
        <w:rPr>
          <w:rStyle w:val="VerbatimChar"/>
        </w:rPr>
        <w:t xml:space="preserve">| Date | … | Author |</w:t>
      </w:r>
      <w:r>
        <w:t xml:space="preserve"> </w:t>
      </w:r>
      <w:r>
        <w:t xml:space="preserve">row is the source of truth for ordering. Numbers must follow that order — i.e. strictly descending in the file.</w:t>
      </w:r>
    </w:p>
    <w:p>
      <w:pPr>
        <w:pStyle w:val="Compact"/>
        <w:numPr>
          <w:ilvl w:val="0"/>
          <w:numId w:val="1003"/>
        </w:numPr>
      </w:pPr>
      <w:r>
        <w:t xml:space="preserve">If a section is ever deleted,</w:t>
      </w:r>
      <w:r>
        <w:t xml:space="preserve"> </w:t>
      </w:r>
      <w:r>
        <w:rPr>
          <w:b/>
          <w:bCs/>
        </w:rPr>
        <w:t xml:space="preserve">renumber</w:t>
      </w:r>
      <w:r>
        <w:t xml:space="preserve"> </w:t>
      </w:r>
      <w:r>
        <w:t xml:space="preserve">the remaining ones so the sequence stays</w:t>
      </w:r>
      <w:r>
        <w:t xml:space="preserve"> </w:t>
      </w:r>
      <w:r>
        <w:rPr>
          <w:rStyle w:val="VerbatimChar"/>
        </w:rPr>
        <w:t xml:space="preserve">NN, NN-1, …, 2, 1</w:t>
      </w:r>
      <w:r>
        <w:t xml:space="preserve"> </w:t>
      </w:r>
      <w:r>
        <w:t xml:space="preserve">with no gaps. A gap is what makes the PO ask</w:t>
      </w:r>
      <w:r>
        <w:t xml:space="preserve"> </w:t>
      </w:r>
      <w:r>
        <w:t xml:space="preserve">“where’s §15?”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Adding a new entry</w:t>
      </w:r>
    </w:p>
    <w:p>
      <w:pPr>
        <w:pStyle w:val="Compact"/>
        <w:numPr>
          <w:ilvl w:val="0"/>
          <w:numId w:val="1004"/>
        </w:numPr>
      </w:pPr>
      <w:r>
        <w:t xml:space="preserve">Insert the new section as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block under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(newest first).</w:t>
      </w:r>
    </w:p>
    <w:p>
      <w:pPr>
        <w:pStyle w:val="Compact"/>
        <w:numPr>
          <w:ilvl w:val="0"/>
          <w:numId w:val="1004"/>
        </w:numPr>
      </w:pPr>
      <w:r>
        <w:t xml:space="preserve">Number it</w:t>
      </w:r>
      <w:r>
        <w:t xml:space="preserve"> </w:t>
      </w:r>
      <w:r>
        <w:rPr>
          <w:b/>
          <w:bCs/>
        </w:rPr>
        <w:t xml:space="preserve">current max + 1</w:t>
      </w:r>
      <w:r>
        <w:t xml:space="preserve"> </w:t>
      </w:r>
      <w:r>
        <w:t xml:space="preserve">(e.g. after §38 → §39).</w:t>
      </w:r>
    </w:p>
    <w:p>
      <w:pPr>
        <w:pStyle w:val="Compact"/>
        <w:numPr>
          <w:ilvl w:val="0"/>
          <w:numId w:val="1004"/>
        </w:numPr>
      </w:pPr>
      <w:r>
        <w:t xml:space="preserve">Date it today and add its row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table. 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is generated from the headings — 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to regenerate it (see below).</w:t>
      </w:r>
    </w:p>
    <w:p>
      <w:pPr>
        <w:pStyle w:val="Compact"/>
        <w:numPr>
          <w:ilvl w:val="0"/>
          <w:numId w:val="1004"/>
        </w:numPr>
      </w:pPr>
      <w:r>
        <w:t xml:space="preserve">Update any narrative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cross-references in older entries if their numbers shifted.</w:t>
      </w:r>
    </w:p>
    <w:bookmarkEnd w:id="11"/>
    <w:bookmarkStart w:id="12" w:name="sec5"/>
    <w:p>
      <w:pPr>
        <w:pStyle w:val="Heading2"/>
      </w:pPr>
      <w:r>
        <w:t xml:space="preserve">Section template</w:t>
      </w:r>
    </w:p>
    <w:p>
      <w:pPr>
        <w:pStyle w:val="SourceCode"/>
      </w:pPr>
      <w:r>
        <w:br/>
      </w:r>
      <w:r>
        <w:br/>
      </w:r>
      <w:r>
        <w:rPr>
          <w:rStyle w:val="FunctionTok"/>
        </w:rPr>
        <w:t xml:space="preserve">### NN) One-line, title-case heading {#sec6}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**Date** | **Change description summary** | **Author**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2026-09-03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Concise bullet summary of what + why (≤ 1 line, no prose wrap).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Kev Everall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br/>
      </w:r>
      <w:r>
        <w:br/>
      </w:r>
      <w:r>
        <w:rPr>
          <w:rStyle w:val="FunctionTok"/>
        </w:rPr>
        <w:t xml:space="preserve">#### Root cause {#sec7}</w:t>
      </w:r>
      <w:r>
        <w:br/>
      </w:r>
      <w:r>
        <w:br/>
      </w:r>
      <w:r>
        <w:rPr>
          <w:rStyle w:val="NormalTok"/>
        </w:rPr>
        <w:t xml:space="preserve">What was broken / what assumption was wrong.</w:t>
      </w:r>
      <w:r>
        <w:br/>
      </w:r>
      <w:r>
        <w:br/>
      </w:r>
      <w:r>
        <w:br/>
      </w:r>
      <w:r>
        <w:rPr>
          <w:rStyle w:val="FunctionTok"/>
        </w:rPr>
        <w:t xml:space="preserve">#### Fix {#sec8}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**`affected/file.ext`** — what changed, how, and why this resolves it.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Keep bullets parallel: file/area first, then change + rationale.</w:t>
      </w:r>
      <w:r>
        <w:br/>
      </w:r>
      <w:r>
        <w:br/>
      </w:r>
      <w:r>
        <w:br/>
      </w:r>
      <w:r>
        <w:rPr>
          <w:rStyle w:val="FunctionTok"/>
        </w:rPr>
        <w:t xml:space="preserve">#### Verification {#sec9}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Concrete checks: test counts, parser passes, regenerated artifacts, lint.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NN</w:t>
      </w:r>
      <w:r>
        <w:t xml:space="preserve"> </w:t>
      </w:r>
      <w:r>
        <w:t xml:space="preserve">is the section number;</w:t>
      </w:r>
      <w:r>
        <w:t xml:space="preserve"> </w:t>
      </w:r>
      <w:r>
        <w:rPr>
          <w:rStyle w:val="VerbatimChar"/>
        </w:rPr>
        <w:t xml:space="preserve">&lt;slug&gt;</w:t>
      </w:r>
      <w:r>
        <w:t xml:space="preserve"> </w:t>
      </w:r>
      <w:r>
        <w:t xml:space="preserve">is the heading lower-cased, spaces →</w:t>
      </w:r>
      <w:r>
        <w:t xml:space="preserve"> </w:t>
      </w:r>
      <w:r>
        <w:rPr>
          <w:rStyle w:val="VerbatimChar"/>
        </w:rPr>
        <w:t xml:space="preserve">-</w:t>
      </w:r>
      <w:r>
        <w:t xml:space="preserve">, punctuation stripped (matches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the first table in the section — it feeds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and the ordering. Without it the entry is unsorted/orphaned (this is exactly how a section ends up stranded at the bottom). The row text must be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in the section and in the summary table — a divergence (e.g. a truncated section row) breaks the one-to-one mapping when the summary table is re-sorted.</w:t>
      </w:r>
    </w:p>
    <w:bookmarkEnd w:id="12"/>
    <w:bookmarkStart w:id="13" w:name="sec10"/>
    <w:p>
      <w:pPr>
        <w:pStyle w:val="Heading2"/>
      </w:pPr>
      <w:r>
        <w:t xml:space="preserve">Anchor conventions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Section anchor</w:t>
      </w:r>
      <w:r>
        <w:t xml:space="preserve"> </w:t>
      </w:r>
      <w:r>
        <w:t xml:space="preserve">(above the heading):</w:t>
      </w:r>
      <w:r>
        <w:t xml:space="preserve"> </w:t>
      </w:r>
      <w:r>
        <w:rPr>
          <w:rStyle w:val="VerbatimChar"/>
        </w:rPr>
        <w:t xml:space="preserve">&lt;a id="NN-&lt;slug&gt;"&gt;&lt;/a&gt;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Sub-anchors</w:t>
      </w:r>
      <w:r>
        <w:t xml:space="preserve"> </w:t>
      </w:r>
      <w:r>
        <w:t xml:space="preserve">(above each</w:t>
      </w:r>
      <w:r>
        <w:t xml:space="preserve"> </w:t>
      </w:r>
      <w:r>
        <w:rPr>
          <w:rStyle w:val="VerbatimChar"/>
        </w:rPr>
        <w:t xml:space="preserve">####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&lt;a name="root-cause-NN"&gt;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name="fix-NN"&gt;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name="verification-NN"&gt;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name="caveats-NN"&gt;</w:t>
      </w:r>
      <w:r>
        <w:t xml:space="preserve">, and any custom ones (</w:t>
      </w:r>
      <w:r>
        <w:rPr>
          <w:rStyle w:val="VerbatimChar"/>
        </w:rPr>
        <w:t xml:space="preserve">scope-NN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commands-NN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callers-NN</w:t>
      </w:r>
      <w:r>
        <w:t xml:space="preserve">, etc.). The trailing number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equal the section number — rename both together when renumbering.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 links</w:t>
      </w:r>
      <w:r>
        <w:t xml:space="preserve"> </w:t>
      </w:r>
      <w:r>
        <w:t xml:space="preserve">use these exact ids;</w:t>
      </w:r>
      <w:r>
        <w:t xml:space="preserve"> </w:t>
      </w:r>
      <w:r>
        <w:rPr>
          <w:rStyle w:val="VerbatimChar"/>
        </w:rPr>
        <w:t xml:space="preserve">[NN) Title](#nn-slug)</w:t>
      </w:r>
      <w:r>
        <w:t xml:space="preserve"> </w:t>
      </w:r>
      <w:r>
        <w:t xml:space="preserve">in the TOC and</w:t>
      </w:r>
      <w:r>
        <w:t xml:space="preserve"> </w:t>
      </w:r>
      <w:r>
        <w:rPr>
          <w:rStyle w:val="VerbatimChar"/>
        </w:rPr>
        <w:t xml:space="preserve">&lt;a name="…-NN"&gt;</w:t>
      </w:r>
      <w:r>
        <w:t xml:space="preserve"> </w:t>
      </w:r>
      <w:r>
        <w:t xml:space="preserve">in sub-anchors.</w:t>
      </w:r>
    </w:p>
    <w:p>
      <w:pPr>
        <w:pStyle w:val="Compact"/>
        <w:numPr>
          <w:ilvl w:val="0"/>
          <w:numId w:val="1006"/>
        </w:numPr>
      </w:pPr>
      <w:r>
        <w:t xml:space="preserve">Headings themselves are</w:t>
      </w:r>
      <w:r>
        <w:t xml:space="preserve"> </w:t>
      </w:r>
      <w:r>
        <w:rPr>
          <w:rStyle w:val="VerbatimChar"/>
        </w:rPr>
        <w:t xml:space="preserve">### NN) …</w:t>
      </w:r>
      <w:r>
        <w:t xml:space="preserve">. Keep the</w:t>
      </w:r>
      <w:r>
        <w:t xml:space="preserve"> </w:t>
      </w:r>
      <w:r>
        <w:rPr>
          <w:rStyle w:val="VerbatimChar"/>
        </w:rPr>
        <w:t xml:space="preserve">NN)</w:t>
      </w:r>
      <w:r>
        <w:t xml:space="preserve"> </w:t>
      </w:r>
      <w:r>
        <w:t xml:space="preserve">prefix and the closing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— the TOC generator (and readers) key on it.</w:t>
      </w:r>
    </w:p>
    <w:bookmarkEnd w:id="13"/>
    <w:bookmarkStart w:id="14" w:name="sec11"/>
    <w:p>
      <w:pPr>
        <w:pStyle w:val="Heading2"/>
      </w:pPr>
      <w:r>
        <w:t xml:space="preserve">Keeping the TOC + summary table in sync</w:t>
      </w:r>
    </w:p>
    <w:p>
      <w:pPr>
        <w:pStyle w:val="FirstParagraph"/>
      </w:pPr>
      <w:r>
        <w:t xml:space="preserve">Two blocks reference every section by number: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Table of Contents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 [NN) Title](#nn-slug)</w:t>
      </w:r>
      <w:r>
        <w:t xml:space="preserve"> </w:t>
      </w:r>
      <w:r>
        <w:t xml:space="preserve">per entry, newest first.</w:t>
      </w:r>
      <w:r>
        <w:t xml:space="preserve"> </w:t>
      </w:r>
      <w:r>
        <w:rPr>
          <w:b/>
          <w:bCs/>
        </w:rPr>
        <w:t xml:space="preserve">Auto-generated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strips the old block and rebuilds it from the H2/H3 headings, sorting numbered runs newest/highest first (</w:t>
      </w:r>
      <w:r>
        <w:rPr>
          <w:rStyle w:val="VerbatimChar"/>
        </w:rPr>
        <w:t xml:space="preserve">Sort-NumberedTocRuns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scripts/Docs.Common.ps1</w:t>
      </w:r>
      <w:r>
        <w:t xml:space="preserve">). Do not hand-edit it — manual edits are stripped and regenerated.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Summary of changes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 per entry, newest first.</w:t>
      </w:r>
      <w:r>
        <w:t xml:space="preserve"> </w:t>
      </w:r>
      <w:r>
        <w:rPr>
          <w:b/>
          <w:bCs/>
        </w:rPr>
        <w:t xml:space="preserve">Hand-maintained</w:t>
      </w:r>
      <w:r>
        <w:t xml:space="preserve">: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regenerated, so add/move its row by hand.</w:t>
      </w:r>
    </w:p>
    <w:p>
      <w:pPr>
        <w:pStyle w:val="FirstParagraph"/>
      </w:pPr>
      <w:r>
        <w:t xml:space="preserve">Both must end up in the same order as the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body (</w:t>
      </w:r>
      <w:r>
        <w:rPr>
          <w:rStyle w:val="VerbatimChar"/>
        </w:rPr>
        <w:t xml:space="preserve">NN, NN-1, …, 1</w:t>
      </w:r>
      <w:r>
        <w:t xml:space="preserve">). When you add or renumber a section, update the summary table in the same pass (same position, same number), then 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to regenerate the TOC.</w:t>
      </w:r>
    </w:p>
    <w:bookmarkEnd w:id="14"/>
    <w:bookmarkStart w:id="15" w:name="sec12"/>
    <w:p>
      <w:pPr>
        <w:pStyle w:val="Heading2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(this is how the TOC is regenerated)</w:t>
      </w:r>
    </w:p>
    <w:p>
      <w:pPr>
        <w:pStyle w:val="FirstParagraph"/>
      </w:pPr>
      <w:r>
        <w:rPr>
          <w:rStyle w:val="VerbatimChar"/>
        </w:rPr>
        <w:t xml:space="preserve">make fix-docs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bitbucket-md-anchor-toc.ps1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Build-CanonicalContent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scripts/Docs.Common.ps1</w:t>
      </w:r>
      <w:r>
        <w:t xml:space="preserve">), which:</w:t>
      </w:r>
    </w:p>
    <w:p>
      <w:pPr>
        <w:pStyle w:val="Compact"/>
        <w:numPr>
          <w:ilvl w:val="0"/>
          <w:numId w:val="1008"/>
        </w:numPr>
      </w:pPr>
      <w:r>
        <w:t xml:space="preserve">strips the existing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block and</w:t>
      </w:r>
      <w:r>
        <w:t xml:space="preserve"> </w:t>
      </w:r>
      <w:r>
        <w:rPr>
          <w:b/>
          <w:bCs/>
        </w:rPr>
        <w:t xml:space="preserve">regenerates</w:t>
      </w:r>
      <w:r>
        <w:t xml:space="preserve"> </w:t>
      </w:r>
      <w:r>
        <w:t xml:space="preserve">it from the H2/H3 headings — so there is always exactly one TOC, never a duplicate,</w:t>
      </w:r>
    </w:p>
    <w:p>
      <w:pPr>
        <w:pStyle w:val="Compact"/>
        <w:numPr>
          <w:ilvl w:val="0"/>
          <w:numId w:val="1008"/>
        </w:numPr>
      </w:pPr>
      <w:r>
        <w:t xml:space="preserve">places an</w:t>
      </w:r>
      <w:r>
        <w:t xml:space="preserve"> </w:t>
      </w:r>
      <w:r>
        <w:rPr>
          <w:rStyle w:val="VerbatimChar"/>
        </w:rPr>
        <w:t xml:space="preserve">&lt;a id="…"&gt;&lt;/a&gt;</w:t>
      </w:r>
      <w:r>
        <w:t xml:space="preserve"> </w:t>
      </w:r>
      <w:r>
        <w:t xml:space="preserve">above every</w:t>
      </w:r>
      <w:r>
        <w:t xml:space="preserve"> </w:t>
      </w:r>
      <w:r>
        <w:rPr>
          <w:rStyle w:val="VerbatimChar"/>
        </w:rPr>
        <w:t xml:space="preserve">H2</w:t>
      </w:r>
      <w:r>
        <w:t xml:space="preserve">/</w:t>
      </w:r>
      <w:r>
        <w:rPr>
          <w:rStyle w:val="VerbatimChar"/>
        </w:rPr>
        <w:t xml:space="preserve">H3</w:t>
      </w:r>
      <w:r>
        <w:t xml:space="preserve">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sorts numbered 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NN) …</w:t>
      </w:r>
      <w:r>
        <w:t xml:space="preserve">) newest/highest first via</w:t>
      </w:r>
      <w:r>
        <w:t xml:space="preserve"> </w:t>
      </w:r>
      <w:r>
        <w:rPr>
          <w:rStyle w:val="VerbatimChar"/>
        </w:rPr>
        <w:t xml:space="preserve">Sort-NumberedTocRuns</w:t>
      </w:r>
      <w:r>
        <w:t xml:space="preserve">. The direction is inferred from the run’s own first vs last number, so an ascending procedural doc (</w:t>
      </w:r>
      <w:r>
        <w:rPr>
          <w:rStyle w:val="VerbatimChar"/>
        </w:rPr>
        <w:t xml:space="preserve">1..N</w:t>
      </w:r>
      <w:r>
        <w:t xml:space="preserve">) is left alone,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preserves</w:t>
      </w:r>
      <w:r>
        <w:t xml:space="preserve"> </w:t>
      </w:r>
      <w:r>
        <w:t xml:space="preserve">the manually-numbered</w:t>
      </w:r>
      <w:r>
        <w:t xml:space="preserve"> </w:t>
      </w:r>
      <w:r>
        <w:rPr>
          <w:rStyle w:val="VerbatimChar"/>
        </w:rPr>
        <w:t xml:space="preserve">&lt;a name="root-cause-NN"&gt;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&lt;a name="fix-NN"&gt;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&lt;a name="verification-NN"&gt;</w:t>
      </w:r>
      <w:r>
        <w:t xml:space="preserve"> </w:t>
      </w:r>
      <w:r>
        <w:t xml:space="preserve">sub-anchors: they precede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t xml:space="preserve">headings, and only H2/H3 anchors are regenerated.</w:t>
      </w:r>
    </w:p>
    <w:p>
      <w:pPr>
        <w:pStyle w:val="FirstParagraph"/>
      </w:pPr>
      <w:r>
        <w:t xml:space="preserve">It is idempotent — re-running makes no further changes once the file is canonical.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after adding/renumbering a section to regenerate the TOC.</w:t>
      </w:r>
    </w:p>
    <w:p>
      <w:pPr>
        <w:pStyle w:val="Compact"/>
        <w:numPr>
          <w:ilvl w:val="0"/>
          <w:numId w:val="1009"/>
        </w:numPr>
      </w:pPr>
      <w:r>
        <w:t xml:space="preserve">To</w:t>
      </w:r>
      <w:r>
        <w:t xml:space="preserve"> </w:t>
      </w:r>
      <w:r>
        <w:rPr>
          <w:b/>
          <w:bCs/>
        </w:rPr>
        <w:t xml:space="preserve">validate links</w:t>
      </w:r>
      <w:r>
        <w:t xml:space="preserve"> </w:t>
      </w:r>
      <w:r>
        <w:t xml:space="preserve">without rewriting the file, use the dry-run:</w:t>
      </w:r>
      <w:r>
        <w:t xml:space="preserve"> </w:t>
      </w:r>
      <w:r>
        <w:rPr>
          <w:rStyle w:val="VerbatimChar"/>
        </w:rPr>
        <w:t xml:space="preserve">make fix-docs-dryrun</w:t>
      </w:r>
      <w:r>
        <w:t xml:space="preserve">.</w:t>
      </w:r>
    </w:p>
    <w:bookmarkEnd w:id="15"/>
    <w:bookmarkStart w:id="16" w:name="sec13"/>
    <w:p>
      <w:pPr>
        <w:pStyle w:val="Heading2"/>
      </w:pPr>
      <w:r>
        <w:t xml:space="preserve">Regenerating the DOCX corpus</w:t>
      </w:r>
    </w:p>
    <w:p>
      <w:pPr>
        <w:pStyle w:val="FirstParagraph"/>
      </w:pPr>
      <w:r>
        <w:t xml:space="preserve">The Word DOCX artifacts are generated (not hand-edited):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word-docs          </w:t>
      </w:r>
      <w:r>
        <w:rPr>
          <w:rStyle w:val="CommentTok"/>
        </w:rPr>
        <w:t xml:space="preserve"># all root *.md + docs/**/*.md + wip/*.md -&gt; ./docx/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word-docs-clean    </w:t>
      </w:r>
      <w:r>
        <w:rPr>
          <w:rStyle w:val="CommentTok"/>
        </w:rPr>
        <w:t xml:space="preserve"># rm -rf docx/</w:t>
      </w:r>
    </w:p>
    <w:p>
      <w:pPr>
        <w:pStyle w:val="Compact"/>
        <w:numPr>
          <w:ilvl w:val="0"/>
          <w:numId w:val="1010"/>
        </w:numPr>
      </w:pPr>
      <w:r>
        <w:t xml:space="preserve">Output mirrors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under the project-root</w:t>
      </w:r>
      <w:r>
        <w:t xml:space="preserve"> </w:t>
      </w:r>
      <w:r>
        <w:rPr>
          <w:rStyle w:val="VerbatimChar"/>
        </w:rPr>
        <w:t xml:space="preserve">docx/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prefix):</w:t>
      </w:r>
      <w:r>
        <w:t xml:space="preserve"> </w:t>
      </w:r>
      <w:r>
        <w:rPr>
          <w:rStyle w:val="VerbatimChar"/>
        </w:rPr>
        <w:t xml:space="preserve">docs/Automation/foo.md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docx/Automation/foo.docx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Root docs 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, …) land at</w:t>
      </w:r>
      <w:r>
        <w:t xml:space="preserve"> </w:t>
      </w:r>
      <w:r>
        <w:rPr>
          <w:rStyle w:val="VerbatimChar"/>
        </w:rPr>
        <w:t xml:space="preserve">docx/&lt;name&gt;.docx</w:t>
      </w:r>
      <w:r>
        <w:t xml:space="preserve">.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docx/wip/SSO.docx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docx/</w:t>
      </w:r>
      <w:r>
        <w:t xml:space="preserve"> </w:t>
      </w:r>
      <w:r>
        <w:t xml:space="preserve">is not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; commit the regenerated set when the changelog/docs change.</w:t>
      </w:r>
    </w:p>
    <w:bookmarkEnd w:id="16"/>
    <w:bookmarkStart w:id="17" w:name="sec14"/>
    <w:p>
      <w:pPr>
        <w:pStyle w:val="Heading2"/>
      </w:pPr>
      <w:r>
        <w:t xml:space="preserve">Sorting discipline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Newest first = highest number first.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body, 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must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NN, NN-1, …, 2, 1</w:t>
      </w:r>
      <w:r>
        <w:t xml:space="preserve"> </w:t>
      </w:r>
      <w:r>
        <w:t xml:space="preserve">top-to-bottom (currently</w:t>
      </w:r>
      <w:r>
        <w:t xml:space="preserve"> </w:t>
      </w:r>
      <w:r>
        <w:rPr>
          <w:rStyle w:val="VerbatimChar"/>
        </w:rPr>
        <w:t xml:space="preserve">38, 37, …, 1</w:t>
      </w:r>
      <w:r>
        <w:t xml:space="preserve">). The number is the sequence — date each entry, but order by number.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Keep the body physically in that order.</w:t>
      </w:r>
      <w:r>
        <w:t xml:space="preserve"> </w:t>
      </w:r>
      <w:r>
        <w:t xml:space="preserve">The TOC is generated from the headings and normalised by</w:t>
      </w:r>
      <w:r>
        <w:t xml:space="preserve"> </w:t>
      </w:r>
      <w:r>
        <w:rPr>
          <w:rStyle w:val="VerbatimChar"/>
        </w:rPr>
        <w:t xml:space="preserve">Sort-NumberedTocRuns</w:t>
      </w:r>
      <w:r>
        <w:t xml:space="preserve">, so a scrambled body would still produce a sorted TOC — but the document has to read in order top-to-bottom, so fix the</w:t>
      </w:r>
      <w:r>
        <w:t xml:space="preserve"> </w:t>
      </w:r>
      <w:r>
        <w:rPr>
          <w:b/>
          <w:bCs/>
        </w:rPr>
        <w:t xml:space="preserve">body</w:t>
      </w:r>
      <w:r>
        <w:t xml:space="preserve">, not just the TOC.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Contiguous numbers</w:t>
      </w:r>
      <w:r>
        <w:t xml:space="preserve"> </w:t>
      </w:r>
      <w:r>
        <w:t xml:space="preserve">follow that order: after sorting, numbers read</w:t>
      </w:r>
      <w:r>
        <w:t xml:space="preserve"> </w:t>
      </w:r>
      <w:r>
        <w:rPr>
          <w:rStyle w:val="VerbatimChar"/>
        </w:rPr>
        <w:t xml:space="preserve">38, 37, 36, …, 2, 1</w:t>
      </w:r>
      <w:r>
        <w:t xml:space="preserve"> </w:t>
      </w:r>
      <w:r>
        <w:t xml:space="preserve">with no gaps. If they don’t, renumber.</w:t>
      </w:r>
    </w:p>
    <w:p>
      <w:pPr>
        <w:pStyle w:val="Compact"/>
        <w:numPr>
          <w:ilvl w:val="0"/>
          <w:numId w:val="1011"/>
        </w:numPr>
      </w:pPr>
      <w:r>
        <w:t xml:space="preserve">If you can’t run</w:t>
      </w:r>
      <w:r>
        <w:t xml:space="preserve"> </w:t>
      </w:r>
      <w:r>
        <w:rPr>
          <w:rStyle w:val="VerbatimChar"/>
        </w:rPr>
        <w:t xml:space="preserve">make word-docs</w:t>
      </w:r>
      <w:r>
        <w:t xml:space="preserve"> </w:t>
      </w:r>
      <w:r>
        <w:t xml:space="preserve">(pandoc not installed), the source of truth is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&lt;a id&gt;</w:t>
      </w:r>
      <w:r>
        <w:t xml:space="preserve">/</w:t>
      </w:r>
      <w:r>
        <w:rPr>
          <w:rStyle w:val="VerbatimChar"/>
        </w:rPr>
        <w:t xml:space="preserve">&lt;a name&gt;</w:t>
      </w:r>
      <w:r>
        <w:t xml:space="preserve"> </w:t>
      </w:r>
      <w:r>
        <w:t xml:space="preserve">scheme above; the DOCX is regenerated from that.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2026-09-29T18:13:59Z</dcterms:created>
  <dcterms:modified xsi:type="dcterms:W3CDTF">2026-09-29T18:13:59Z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