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Session Lifecycle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4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Start w:id="13" w:name="sec10"/>
    <w:p>
      <w:pPr>
        <w:pStyle w:val="Heading3"/>
      </w:pPr>
      <w:r>
        <w:t xml:space="preserve">Session Lifecycle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the session (delegates to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</w:t>
      </w:r>
      <w:r>
        <w:t xml:space="preserve">: OneView commands reuse the existing session automatically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session (or it closes when PowerShell exits)</w:t>
      </w:r>
    </w:p>
    <w:p>
      <w:pPr>
        <w:pStyle w:val="FirstParagraph"/>
      </w:pPr>
      <w:r>
        <w:t xml:space="preserve">This model avoids repeated authentication overhead and aligns with the HPE OneView PowerShell module’s session management.</w:t>
      </w:r>
    </w:p>
    <w:bookmarkEnd w:id="13"/>
    <w:bookmarkEnd w:id="14"/>
    <w:bookmarkStart w:id="15" w:name="sec11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5"/>
    <w:bookmarkStart w:id="18" w:name="sec12"/>
    <w:p>
      <w:pPr>
        <w:pStyle w:val="Heading2"/>
      </w:pPr>
      <w:r>
        <w:t xml:space="preserve">Configuration Files</w:t>
      </w:r>
    </w:p>
    <w:bookmarkStart w:id="16" w:name="sec13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sec14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7"/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6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6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6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