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8" w:name="sec1"/>
    <w:p>
      <w:pPr>
        <w:pStyle w:val="Heading1"/>
      </w:pPr>
      <w:r>
        <w:t xml:space="preserve">Authentication &amp; Configuration Index</w:t>
      </w:r>
    </w:p>
    <w:bookmarkStart w:id="10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Quick Reference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Documentation</w:t>
        </w:r>
      </w:hyperlink>
    </w:p>
    <w:p>
      <w:pPr>
        <w:pStyle w:val="Compact"/>
        <w:numPr>
          <w:ilvl w:val="0"/>
          <w:numId w:val="1001"/>
        </w:numPr>
      </w:pPr>
      <w:hyperlink w:anchor="sec5">
        <w:r>
          <w:rPr>
            <w:rStyle w:val="Hyperlink"/>
          </w:rPr>
          <w:t xml:space="preserve">Working Config Files</w:t>
        </w:r>
      </w:hyperlink>
    </w:p>
    <w:p>
      <w:pPr>
        <w:pStyle w:val="Compact"/>
        <w:numPr>
          <w:ilvl w:val="0"/>
          <w:numId w:val="1001"/>
        </w:numPr>
      </w:pPr>
      <w:hyperlink w:anchor="sec6">
        <w:r>
          <w:rPr>
            <w:rStyle w:val="Hyperlink"/>
          </w:rPr>
          <w:t xml:space="preserve">GitLab CI Integration</w:t>
        </w:r>
      </w:hyperlink>
    </w:p>
    <w:p>
      <w:pPr>
        <w:pStyle w:val="Compact"/>
        <w:numPr>
          <w:ilvl w:val="0"/>
          <w:numId w:val="1001"/>
        </w:numPr>
      </w:pPr>
      <w:hyperlink w:anchor="sec7">
        <w:r>
          <w:rPr>
            <w:rStyle w:val="Hyperlink"/>
          </w:rPr>
          <w:t xml:space="preserve">Usage</w:t>
        </w:r>
      </w:hyperlink>
    </w:p>
    <w:p>
      <w:pPr>
        <w:pStyle w:val="FirstParagraph"/>
      </w:pPr>
      <w:r>
        <w:t xml:space="preserve">Configuration and secrets for</w:t>
      </w:r>
      <w:r>
        <w:t xml:space="preserve"> </w:t>
      </w:r>
      <w:r>
        <w:rPr>
          <w:rStyle w:val="VerbatimChar"/>
        </w:rPr>
        <w:t xml:space="preserve">Set-MaintenanceMode</w:t>
      </w:r>
      <w:r>
        <w:t xml:space="preserve">. All secrets stored in CyberArk vault</w:t>
      </w:r>
      <w:r>
        <w:t xml:space="preserve"> </w:t>
      </w:r>
      <w:r>
        <w:rPr>
          <w:rStyle w:val="VerbatimChar"/>
        </w:rPr>
        <w:t xml:space="preserve">pas.example.com</w:t>
      </w:r>
      <w:r>
        <w:t xml:space="preserve">. See</w:t>
      </w:r>
      <w:r>
        <w:t xml:space="preserve"> </w:t>
      </w:r>
      <w:hyperlink r:id="rId9">
        <w:r>
          <w:rPr>
            <w:rStyle w:val="Hyperlink"/>
          </w:rPr>
          <w:t xml:space="preserve">DevOps Guide to HPE Terms</w:t>
        </w:r>
      </w:hyperlink>
      <w:r>
        <w:t xml:space="preserve"> </w:t>
      </w:r>
      <w:r>
        <w:t xml:space="preserve">for the distinction between SCOM, OneView, and iLO.</w:t>
      </w:r>
    </w:p>
    <w:bookmarkEnd w:id="10"/>
    <w:bookmarkStart w:id="11" w:name="sec3"/>
    <w:p>
      <w:pPr>
        <w:pStyle w:val="Heading2"/>
      </w:pPr>
      <w:r>
        <w:t xml:space="preserve">Quick Reference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1545"/>
        <w:gridCol w:w="1159"/>
        <w:gridCol w:w="2704"/>
        <w:gridCol w:w="251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System</w:t>
            </w:r>
          </w:p>
        </w:tc>
        <w:tc>
          <w:tcPr/>
          <w:p>
            <w:pPr>
              <w:pStyle w:val="Compact"/>
            </w:pPr>
            <w:r>
              <w:t xml:space="preserve">Mode</w:t>
            </w:r>
          </w:p>
        </w:tc>
        <w:tc>
          <w:tcPr/>
          <w:p>
            <w:pPr>
              <w:pStyle w:val="Compact"/>
            </w:pPr>
            <w:r>
              <w:t xml:space="preserve">Secrets Safe</w:t>
            </w:r>
          </w:p>
        </w:tc>
        <w:tc>
          <w:tcPr/>
          <w:p>
            <w:pPr>
              <w:pStyle w:val="Compact"/>
            </w:pPr>
            <w:r>
              <w:t xml:space="preserve">Target Type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SCOM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scom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SCOM-2015</w:t>
            </w:r>
          </w:p>
        </w:tc>
        <w:tc>
          <w:tcPr/>
          <w:p>
            <w:pPr>
              <w:pStyle w:val="Compact"/>
            </w:pPr>
            <w:r>
              <w:t xml:space="preserve">Cluster groups (all nested objects)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OneView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oneview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HPE-OneView</w:t>
            </w:r>
          </w:p>
        </w:tc>
        <w:tc>
          <w:tcPr/>
          <w:p>
            <w:pPr>
              <w:pStyle w:val="Compact"/>
            </w:pPr>
            <w:r>
              <w:t xml:space="preserve">Individual servers (no nesting)</w:t>
            </w:r>
          </w:p>
        </w:tc>
      </w:tr>
    </w:tbl>
    <w:p>
      <w:pPr>
        <w:pStyle w:val="BodyText"/>
      </w:pPr>
      <w:r>
        <w:rPr>
          <w:b/>
          <w:bCs/>
        </w:rPr>
        <w:t xml:space="preserve">Note:</w:t>
      </w:r>
      <w:r>
        <w:t xml:space="preserve"> </w:t>
      </w:r>
      <w:r>
        <w:t xml:space="preserve">The codebase defines</w:t>
      </w:r>
      <w:r>
        <w:t xml:space="preserve"> </w:t>
      </w:r>
      <w:r>
        <w:rPr>
          <w:rStyle w:val="VerbatimChar"/>
        </w:rPr>
        <w:t xml:space="preserve">OpenView</w:t>
      </w:r>
      <w:r>
        <w:t xml:space="preserve"> </w:t>
      </w:r>
      <w:r>
        <w:t xml:space="preserve">safe (legacy) and</w:t>
      </w:r>
      <w:r>
        <w:t xml:space="preserve"> </w:t>
      </w:r>
      <w:r>
        <w:rPr>
          <w:rStyle w:val="VerbatimChar"/>
        </w:rPr>
        <w:t xml:space="preserve">HPE-OneView</w:t>
      </w:r>
      <w:r>
        <w:t xml:space="preserve"> </w:t>
      </w:r>
      <w:r>
        <w:t xml:space="preserve">safe (current). Use</w:t>
      </w:r>
      <w:r>
        <w:t xml:space="preserve"> </w:t>
      </w:r>
      <w:r>
        <w:rPr>
          <w:rStyle w:val="VerbatimChar"/>
        </w:rPr>
        <w:t xml:space="preserve">HPE-OneView</w:t>
      </w:r>
      <w:r>
        <w:t xml:space="preserve"> </w:t>
      </w:r>
      <w:r>
        <w:t xml:space="preserve">for new implementations.</w:t>
      </w:r>
    </w:p>
    <w:bookmarkEnd w:id="11"/>
    <w:bookmarkStart w:id="14" w:name="sec4"/>
    <w:p>
      <w:pPr>
        <w:pStyle w:val="Heading2"/>
      </w:pPr>
      <w:r>
        <w:t xml:space="preserve">Documentation</w:t>
      </w:r>
    </w:p>
    <w:p>
      <w:pPr>
        <w:pStyle w:val="Compact"/>
        <w:numPr>
          <w:ilvl w:val="0"/>
          <w:numId w:val="1002"/>
        </w:numPr>
      </w:pPr>
      <w:hyperlink r:id="rId12">
        <w:r>
          <w:rPr>
            <w:rStyle w:val="Hyperlink"/>
          </w:rPr>
          <w:t xml:space="preserve">SCOM Configuration</w:t>
        </w:r>
      </w:hyperlink>
      <w:r>
        <w:t xml:space="preserve"> </w:t>
      </w:r>
      <w:r>
        <w:t xml:space="preserve">- Cluster-level maintenance mode</w:t>
      </w:r>
    </w:p>
    <w:p>
      <w:pPr>
        <w:pStyle w:val="Compact"/>
        <w:numPr>
          <w:ilvl w:val="0"/>
          <w:numId w:val="1002"/>
        </w:numPr>
      </w:pPr>
      <w:hyperlink r:id="rId13">
        <w:r>
          <w:rPr>
            <w:rStyle w:val="Hyperlink"/>
          </w:rPr>
          <w:t xml:space="preserve">OneView Configuration</w:t>
        </w:r>
      </w:hyperlink>
      <w:r>
        <w:t xml:space="preserve"> </w:t>
      </w:r>
      <w:r>
        <w:t xml:space="preserve">- Hardware-level maintenance mode (via iLO)</w:t>
      </w:r>
    </w:p>
    <w:bookmarkEnd w:id="14"/>
    <w:bookmarkStart w:id="15" w:name="sec5"/>
    <w:p>
      <w:pPr>
        <w:pStyle w:val="Heading2"/>
      </w:pPr>
      <w:r>
        <w:t xml:space="preserve">Working Config Files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configs/scom_config.working.json</w:t>
      </w:r>
      <w:r>
        <w:t xml:space="preserve"> </w:t>
      </w:r>
      <w:r>
        <w:t xml:space="preserve">- SCOM working configuration template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configs/oneview_config.working.json</w:t>
      </w:r>
      <w:r>
        <w:t xml:space="preserve"> </w:t>
      </w:r>
      <w:r>
        <w:t xml:space="preserve">- OneView working configuration template</w:t>
      </w:r>
    </w:p>
    <w:bookmarkEnd w:id="15"/>
    <w:bookmarkStart w:id="16" w:name="sec6"/>
    <w:p>
      <w:pPr>
        <w:pStyle w:val="Heading2"/>
      </w:pPr>
      <w:r>
        <w:t xml:space="preserve">GitLab CI Integration</w:t>
      </w:r>
    </w:p>
    <w:p>
      <w:pPr>
        <w:pStyle w:val="FirstParagraph"/>
      </w:pPr>
      <w:r>
        <w:t xml:space="preserve">Set these</w:t>
      </w:r>
      <w:r>
        <w:t xml:space="preserve"> </w:t>
      </w:r>
      <w:r>
        <w:rPr>
          <w:b/>
          <w:bCs/>
        </w:rPr>
        <w:t xml:space="preserve">Masked</w:t>
      </w:r>
      <w:r>
        <w:t xml:space="preserve"> </w:t>
      </w:r>
      <w:r>
        <w:t xml:space="preserve">variables in GitLab CI/CD Settings → Variables: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3443"/>
        <w:gridCol w:w="4476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Variable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CYBERARK_CCP_URL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https://cyberark-ccp:443/AIMWebService/API/Accounts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CYBERARK_APP_ID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ci</w:t>
            </w:r>
          </w:p>
        </w:tc>
      </w:tr>
    </w:tbl>
    <w:p>
      <w:pPr>
        <w:pStyle w:val="BodyText"/>
      </w:pPr>
      <w:r>
        <w:t xml:space="preserve">The</w:t>
      </w:r>
      <w:r>
        <w:t xml:space="preserve"> </w:t>
      </w:r>
      <w:r>
        <w:rPr>
          <w:rStyle w:val="VerbatimChar"/>
        </w:rPr>
        <w:t xml:space="preserve">cyberark-bootstrap</w:t>
      </w:r>
      <w:r>
        <w:t xml:space="preserve"> </w:t>
      </w:r>
      <w:r>
        <w:t xml:space="preserve">job fetches secrets and makes them available to downstream jobs.</w:t>
      </w:r>
    </w:p>
    <w:bookmarkEnd w:id="16"/>
    <w:bookmarkStart w:id="17" w:name="sec7"/>
    <w:p>
      <w:pPr>
        <w:pStyle w:val="Heading2"/>
      </w:pPr>
      <w:r>
        <w:t xml:space="preserve">Usage</w:t>
      </w:r>
    </w:p>
    <w:p>
      <w:pPr>
        <w:pStyle w:val="SourceCode"/>
      </w:pPr>
      <w:r>
        <w:rPr>
          <w:rStyle w:val="CommentTok"/>
        </w:rPr>
        <w:t xml:space="preserve"># SCOM - cluster maintenance (all servers/resources under group) {#sec8}</w:t>
      </w:r>
      <w:r>
        <w:br/>
      </w:r>
      <w:r>
        <w:rPr>
          <w:rStyle w:val="NormalTok"/>
        </w:rPr>
        <w:t xml:space="preserve">Set-MaintenanceMode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Action enable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TargetId </w:t>
      </w:r>
      <w:r>
        <w:rPr>
          <w:rStyle w:val="StringTok"/>
        </w:rPr>
        <w:t xml:space="preserve">'CLU-CLUSTER-01'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Mode scom</w:t>
      </w:r>
      <w:r>
        <w:br/>
      </w:r>
      <w:r>
        <w:br/>
      </w:r>
      <w:r>
        <w:rPr>
          <w:rStyle w:val="CommentTok"/>
        </w:rPr>
        <w:t xml:space="preserve"># OneView - individual server maintenance {#sec9}</w:t>
      </w:r>
      <w:r>
        <w:br/>
      </w:r>
      <w:r>
        <w:rPr>
          <w:rStyle w:val="NormalTok"/>
        </w:rPr>
        <w:t xml:space="preserve">Set-MaintenanceMode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Action enable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TargetId </w:t>
      </w:r>
      <w:r>
        <w:rPr>
          <w:rStyle w:val="StringTok"/>
        </w:rPr>
        <w:t xml:space="preserve">'PROD-SERVER-01'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Mode oneview</w:t>
      </w:r>
    </w:p>
    <w:bookmarkEnd w:id="17"/>
    <w:bookmarkEnd w:id="18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../devops-guide-to-HPe-Terms.md#top" TargetMode="External" /><Relationship Type="http://schemas.openxmlformats.org/officeDocument/2006/relationships/hyperlink" Id="rId13" Target="oneview-auth.md#top" TargetMode="External" /><Relationship Type="http://schemas.openxmlformats.org/officeDocument/2006/relationships/hyperlink" Id="rId12" Target="scom-auth.md#top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../devops-guide-to-HPe-Terms.md#top" TargetMode="External" /><Relationship Type="http://schemas.openxmlformats.org/officeDocument/2006/relationships/hyperlink" Id="rId13" Target="oneview-auth.md#top" TargetMode="External" /><Relationship Type="http://schemas.openxmlformats.org/officeDocument/2006/relationships/hyperlink" Id="rId12" Target="scom-auth.md#top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2026-09-03T19:07:14Z</dcterms:created>
  <dcterms:modified xsi:type="dcterms:W3CDTF">2026-09-03T19:07:14Z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