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39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4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with ConfigMgr + OneView + iLO Redfish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Implementation plan and design decisions for the ConfigMgr bootable-media workflow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4"/>
    <w:bookmarkStart w:id="28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8"/>
    <w:bookmarkStart w:id="35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5"/>
    <w:bookmarkStart w:id="38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0"/>
    <w:bookmarkEnd w:id="4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