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2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 Signon and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Parameter Binding and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SCOM Connect by TargetId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OneView Connect by TargetId cluster scope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OneView Connect by SerialNumber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 Target Resolution Shared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24" w:name="sec3"/>
    <w:p>
      <w:pPr>
        <w:pStyle w:val="Heading2"/>
      </w:pPr>
      <w:r>
        <w:t xml:space="preserve">Test-ServerConnectivity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 only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- there is no SCOM path and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parameter.</w:t>
      </w:r>
    </w:p>
    <w:bookmarkStart w:id="14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). Only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(DryRun).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(server name or serial). REQUIRED for live runs; used verbatim.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live connection. If omitted,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is required for a live (non-</w:t>
      </w:r>
      <w:r>
        <w:rPr>
          <w:rStyle w:val="VerbatimChar"/>
        </w:rPr>
        <w:t xml:space="preserve">-DryRun</w:t>
      </w:r>
      <w:r>
        <w:t xml:space="preserve">) connectivity test.</w:t>
      </w:r>
    </w:p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Lines 7-17</w:t>
        </w:r>
      </w:hyperlink>
      <w:r>
        <w:t xml:space="preserve"> </w:t>
      </w:r>
      <w:r>
        <w:rPr>
          <w:b/>
          <w:bCs/>
        </w:rPr>
        <w:t xml:space="preserve">Function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Lines 223-234</w:t>
        </w:r>
      </w:hyperlink>
    </w:p>
    <w:bookmarkEnd w:id="14"/>
    <w:bookmarkStart w:id="17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BodyText"/>
      </w:pPr>
      <w:r>
        <w:rPr>
          <w:b/>
          <w:bCs/>
        </w:rPr>
        <w:t xml:space="preserve">DryRun logic</w:t>
      </w:r>
      <w:r>
        <w:t xml:space="preserve">:</w:t>
      </w:r>
      <w:r>
        <w:t xml:space="preserve"> </w:t>
      </w:r>
      <w:hyperlink r:id="rId15">
        <w:r>
          <w:rPr>
            <w:rStyle w:val="VerbatimChar"/>
          </w:rPr>
          <w:t xml:space="preserve">Lines 252-294</w:t>
        </w:r>
      </w:hyperlink>
      <w:r>
        <w:t xml:space="preserve"> </w:t>
      </w:r>
      <w:r>
        <w:rPr>
          <w:b/>
          <w:bCs/>
        </w:rPr>
        <w:t xml:space="preserve">Output formatter with DryRun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Lines 408-536</w:t>
        </w:r>
      </w:hyperlink>
    </w:p>
    <w:p>
      <w:pPr>
        <w:pStyle w:val="SourceCode"/>
      </w:pPr>
      <w:r>
        <w:rPr>
          <w:rStyle w:val="CommentTok"/>
        </w:rPr>
        <w:t xml:space="preserve"># Mock successful connectivity check (OneView only)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ports, PowerShell module, WinRM status,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7"/>
    <w:bookmarkStart w:id="19" w:name="sec7"/>
    <w:p>
      <w:pPr>
        <w:pStyle w:val="Heading3"/>
      </w:pPr>
      <w:r>
        <w:t xml:space="preserve">Phase 1 Network Ping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Lines 252-304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p>
      <w:pPr>
        <w:pStyle w:val="Compact"/>
        <w:numPr>
          <w:ilvl w:val="1"/>
          <w:numId w:val="1013"/>
        </w:numPr>
      </w:pPr>
      <w:r>
        <w:t xml:space="preserve">OneView: 443</w:t>
      </w:r>
    </w:p>
    <w:bookmarkEnd w:id="19"/>
    <w:bookmarkStart w:id="21" w:name="sec8"/>
    <w:p>
      <w:pPr>
        <w:pStyle w:val="Heading3"/>
      </w:pPr>
      <w:r>
        <w:t xml:space="preserve">Phase 2 Auth Connect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20">
        <w:r>
          <w:rPr>
            <w:rStyle w:val="VerbatimChar"/>
          </w:rPr>
          <w:t xml:space="preserve">Lines 306-390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4"/>
        </w:numPr>
      </w:pPr>
      <w:r>
        <w:t xml:space="preserve">Validates module loaded (HPEOneView.*) and connected successfully</w:t>
      </w:r>
    </w:p>
    <w:bookmarkEnd w:id="21"/>
    <w:bookmarkStart w:id="23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rPr>
          <w:b/>
          <w:bCs/>
        </w:rPr>
        <w:t xml:space="preserve">Result assembly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392-406</w:t>
        </w:r>
      </w:hyperlink>
    </w:p>
    <w:p>
      <w:r>
        <w:pict>
          <v:rect style="width:0;height:1.5pt" o:hralign="center" o:hrstd="t" o:hr="t"/>
        </w:pict>
      </w:r>
    </w:p>
    <w:bookmarkEnd w:id="23"/>
    <w:bookmarkEnd w:id="24"/>
    <w:bookmarkStart w:id="67" w:name="sec10"/>
    <w:p>
      <w:pPr>
        <w:pStyle w:val="Heading2"/>
      </w:pPr>
      <w:r>
        <w:t xml:space="preserve">1 Signon and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</w:p>
    <w:bookmarkStart w:id="32" w:name="sec11"/>
    <w:p>
      <w:pPr>
        <w:pStyle w:val="Heading3"/>
      </w:pPr>
      <w:r>
        <w:t xml:space="preserve">1.1 Parameter Binding and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32"/>
    <w:bookmarkStart w:id="45" w:name="sec12"/>
    <w:p>
      <w:pPr>
        <w:pStyle w:val="Heading3"/>
      </w:pPr>
      <w:r>
        <w:t xml:space="preserve">1.2 SCOM Connect by TargetId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8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7"/>
        </w:numPr>
      </w:pPr>
      <w:hyperlink r:id="rId39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7"/>
        </w:numPr>
      </w:pPr>
      <w:hyperlink r:id="rId40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43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8"/>
        </w:numPr>
      </w:pPr>
      <w:hyperlink r:id="rId44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8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45"/>
    <w:bookmarkStart w:id="59" w:name="sec14"/>
    <w:p>
      <w:pPr>
        <w:pStyle w:val="Heading3"/>
      </w:pPr>
      <w:r>
        <w:t xml:space="preserve">1.3 OneView Connect by TargetId cluster scope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20"/>
        </w:numPr>
      </w:pPr>
      <w:hyperlink r:id="rId48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1"/>
        </w:numPr>
      </w:pPr>
      <w:hyperlink r:id="rId50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51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1"/>
        </w:numPr>
      </w:pPr>
      <w:hyperlink r:id="rId52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53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1"/>
        </w:numPr>
      </w:pPr>
      <w:hyperlink r:id="rId54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55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7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2"/>
        </w:numPr>
      </w:pPr>
      <w:hyperlink r:id="rId58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2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9"/>
    <w:bookmarkStart w:id="66" w:name="sec16"/>
    <w:p>
      <w:pPr>
        <w:pStyle w:val="Heading3"/>
      </w:pPr>
      <w:r>
        <w:t xml:space="preserve">1.4 OneView Connect by SerialNumber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60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61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62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4"/>
        </w:numPr>
      </w:pPr>
      <w:hyperlink r:id="rId63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4"/>
        </w:numPr>
      </w:pPr>
      <w:hyperlink r:id="rId64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65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sec19"/>
    <w:p>
      <w:pPr>
        <w:pStyle w:val="Heading2"/>
      </w:pPr>
      <w:r>
        <w:t xml:space="preserve">2 Target Resolution Shared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8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70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71"/>
    <w:bookmarkStart w:id="75" w:name="sec20"/>
    <w:p>
      <w:pPr>
        <w:pStyle w:val="Heading2"/>
      </w:pPr>
      <w:r>
        <w:t xml:space="preserve">3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72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73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73"/>
    <w:bookmarkStart w:id="74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8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4" w:name="sec23"/>
    <w:p>
      <w:pPr>
        <w:pStyle w:val="Heading2"/>
      </w:pPr>
      <w:r>
        <w:t xml:space="preserve">4 Enable Maintenance Mode</w:t>
      </w:r>
    </w:p>
    <w:bookmarkStart w:id="81" w:name="sec24"/>
    <w:p>
      <w:pPr>
        <w:pStyle w:val="Heading3"/>
      </w:pPr>
      <w:r>
        <w:t xml:space="preserve">4.1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6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8"/>
        </w:numPr>
      </w:pPr>
      <w:hyperlink r:id="rId77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8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8"/>
        </w:numPr>
      </w:pPr>
      <w:hyperlink r:id="rId79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80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81"/>
    <w:bookmarkStart w:id="84" w:name="sec25"/>
    <w:p>
      <w:pPr>
        <w:pStyle w:val="Heading3"/>
      </w:pPr>
      <w:r>
        <w:t xml:space="preserve">4.2 Start/End Time Resolution</w:t>
      </w:r>
    </w:p>
    <w:p>
      <w:pPr>
        <w:pStyle w:val="Compact"/>
        <w:numPr>
          <w:ilvl w:val="0"/>
          <w:numId w:val="1029"/>
        </w:numPr>
      </w:pPr>
      <w:hyperlink r:id="rId82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9"/>
        </w:numPr>
      </w:pPr>
      <w:hyperlink r:id="rId83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84"/>
    <w:bookmarkStart w:id="89" w:name="sec26"/>
    <w:p>
      <w:pPr>
        <w:pStyle w:val="Heading3"/>
      </w:pPr>
      <w:r>
        <w:t xml:space="preserve">4.3 SCOM: Enter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5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6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7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8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9"/>
    <w:bookmarkStart w:id="93" w:name="sec27"/>
    <w:p>
      <w:pPr>
        <w:pStyle w:val="Heading3"/>
      </w:pPr>
      <w:r>
        <w:t xml:space="preserve">4.4 OneView: Set Maintenance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92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8" w:name="sec28"/>
    <w:p>
      <w:pPr>
        <w:pStyle w:val="Heading2"/>
      </w:pPr>
      <w:r>
        <w:t xml:space="preserve">5. Enable Post-Operation Actions</w:t>
      </w:r>
    </w:p>
    <w:bookmarkStart w:id="96" w:name="sec29"/>
    <w:p>
      <w:pPr>
        <w:pStyle w:val="Heading3"/>
      </w:pPr>
      <w:r>
        <w:t xml:space="preserve">5.1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2"/>
        </w:numPr>
      </w:pPr>
      <w:hyperlink r:id="rId95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3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3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3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96"/>
    <w:bookmarkStart w:id="102" w:name="sec30"/>
    <w:p>
      <w:pPr>
        <w:pStyle w:val="Heading3"/>
      </w:pPr>
      <w:r>
        <w:t xml:space="preserve">5.2 Email Notification (Enable)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7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8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9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100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101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102"/>
    <w:bookmarkStart w:id="107" w:name="sec31"/>
    <w:p>
      <w:pPr>
        <w:pStyle w:val="Heading3"/>
      </w:pPr>
      <w:r>
        <w:t xml:space="preserve">5.3 OpsRamp Metrics &amp; Alerts (Enable)</w:t>
      </w:r>
    </w:p>
    <w:p>
      <w:pPr>
        <w:pStyle w:val="Compact"/>
        <w:numPr>
          <w:ilvl w:val="0"/>
          <w:numId w:val="1035"/>
        </w:numPr>
      </w:pPr>
      <w:hyperlink r:id="rId103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6"/>
        </w:numPr>
      </w:pPr>
      <w:hyperlink r:id="rId104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6"/>
        </w:numPr>
      </w:pPr>
      <w:hyperlink r:id="rId105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6"/>
        </w:numPr>
      </w:pPr>
      <w:hyperlink r:id="rId106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32" w:name="sec32"/>
    <w:p>
      <w:pPr>
        <w:pStyle w:val="Heading2"/>
      </w:pPr>
      <w:r>
        <w:t xml:space="preserve">6 Disable Maintenance Mode</w:t>
      </w:r>
    </w:p>
    <w:bookmarkStart w:id="112" w:name="sec33"/>
    <w:p>
      <w:pPr>
        <w:pStyle w:val="Heading3"/>
      </w:pPr>
      <w:r>
        <w:t xml:space="preserve">6.1 Pre-Check: Already Disabled?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8"/>
        </w:numPr>
      </w:pPr>
      <w:hyperlink r:id="rId110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8"/>
        </w:numPr>
      </w:pPr>
      <w:hyperlink r:id="rId111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12"/>
    <w:bookmarkStart w:id="116" w:name="sec34"/>
    <w:p>
      <w:pPr>
        <w:pStyle w:val="Heading3"/>
      </w:pPr>
      <w:r>
        <w:t xml:space="preserve">6.2 SCOM: Exit Maintenance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16"/>
    <w:bookmarkStart w:id="119" w:name="sec35"/>
    <w:p>
      <w:pPr>
        <w:pStyle w:val="Heading3"/>
      </w:pPr>
      <w:r>
        <w:t xml:space="preserve">6.3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40"/>
        </w:numPr>
      </w:pPr>
      <w:hyperlink r:id="rId117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1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8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1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9"/>
    <w:bookmarkStart w:id="123" w:name="sec36"/>
    <w:p>
      <w:pPr>
        <w:pStyle w:val="Heading3"/>
      </w:pPr>
      <w:r>
        <w:t xml:space="preserve">6.4 OneView: Disable Maintenance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0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21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22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23"/>
    <w:bookmarkStart w:id="126" w:name="sec37"/>
    <w:p>
      <w:pPr>
        <w:pStyle w:val="Heading3"/>
      </w:pPr>
      <w:r>
        <w:t xml:space="preserve">6.5 Email Notification (Disable)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3"/>
        </w:numPr>
      </w:pPr>
      <w:r>
        <w:t xml:space="preserve">Uses same</w:t>
      </w:r>
      <w:r>
        <w:t xml:space="preserve"> </w:t>
      </w:r>
      <w:hyperlink r:id="rId125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26"/>
    <w:bookmarkStart w:id="131" w:name="sec38"/>
    <w:p>
      <w:pPr>
        <w:pStyle w:val="Heading3"/>
      </w:pPr>
      <w:r>
        <w:t xml:space="preserve">6.6 OpsRamp Metrics &amp; Alerts (Disable)</w:t>
      </w:r>
    </w:p>
    <w:p>
      <w:pPr>
        <w:pStyle w:val="Compact"/>
        <w:numPr>
          <w:ilvl w:val="0"/>
          <w:numId w:val="1044"/>
        </w:numPr>
      </w:pPr>
      <w:hyperlink r:id="rId127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5"/>
        </w:numPr>
      </w:pPr>
      <w:hyperlink r:id="rId128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5"/>
        </w:numPr>
      </w:pPr>
      <w:hyperlink r:id="rId129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5"/>
        </w:numPr>
      </w:pPr>
      <w:hyperlink r:id="rId130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52" w:name="sec39"/>
    <w:p>
      <w:pPr>
        <w:pStyle w:val="Heading2"/>
      </w:pPr>
      <w:r>
        <w:t xml:space="preserve">7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33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34">
        <w:r>
          <w:rPr>
            <w:rStyle w:val="VerbatimChar"/>
          </w:rPr>
          <w:t xml:space="preserve">Lines 702–983</w:t>
        </w:r>
      </w:hyperlink>
    </w:p>
    <w:bookmarkStart w:id="136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7"/>
        </w:numPr>
      </w:pPr>
      <w:hyperlink r:id="rId135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36"/>
    <w:bookmarkStart w:id="141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8"/>
        </w:numPr>
      </w:pPr>
      <w:hyperlink r:id="rId137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9"/>
        </w:numPr>
      </w:pPr>
      <w:hyperlink r:id="rId138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8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9"/>
        </w:numPr>
      </w:pPr>
      <w:hyperlink r:id="rId139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9"/>
        </w:numPr>
      </w:pPr>
      <w:hyperlink r:id="rId140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41"/>
    <w:bookmarkStart w:id="145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50"/>
        </w:numPr>
      </w:pPr>
      <w:hyperlink r:id="rId142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1"/>
        </w:numPr>
      </w:pPr>
      <w:hyperlink r:id="rId143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1"/>
        </w:numPr>
      </w:pPr>
      <w:hyperlink r:id="rId144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80">
        <w:r>
          <w:rPr>
            <w:rStyle w:val="VerbatimChar"/>
          </w:rPr>
          <w:t xml:space="preserve">Line 3178</w:t>
        </w:r>
      </w:hyperlink>
    </w:p>
    <w:bookmarkEnd w:id="145"/>
    <w:bookmarkStart w:id="149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2"/>
        </w:numPr>
      </w:pPr>
      <w:hyperlink r:id="rId146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2"/>
        </w:numPr>
      </w:pPr>
      <w:hyperlink r:id="rId147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2"/>
        </w:numPr>
      </w:pPr>
      <w:hyperlink r:id="rId148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9"/>
    <w:bookmarkStart w:id="151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3"/>
        </w:numPr>
      </w:pPr>
      <w:hyperlink r:id="rId150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67" w:name="sec45"/>
    <w:p>
      <w:pPr>
        <w:pStyle w:val="Heading2"/>
      </w:pPr>
      <w:r>
        <w:t xml:space="preserve">8 Audit Record &amp; Output</w:t>
      </w:r>
    </w:p>
    <w:bookmarkStart w:id="154" w:name="sec46"/>
    <w:p>
      <w:pPr>
        <w:pStyle w:val="Heading3"/>
      </w:pPr>
      <w:r>
        <w:t xml:space="preserve">8.1 Audit Initialization</w:t>
      </w:r>
    </w:p>
    <w:p>
      <w:pPr>
        <w:pStyle w:val="Compact"/>
        <w:numPr>
          <w:ilvl w:val="0"/>
          <w:numId w:val="1054"/>
        </w:numPr>
      </w:pPr>
      <w:hyperlink r:id="rId153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54"/>
    <w:bookmarkStart w:id="158" w:name="sec47"/>
    <w:p>
      <w:pPr>
        <w:pStyle w:val="Heading3"/>
      </w:pPr>
      <w:r>
        <w:t xml:space="preserve">8.2 Audit Finalization &amp; Save</w:t>
      </w:r>
    </w:p>
    <w:p>
      <w:pPr>
        <w:pStyle w:val="Compact"/>
        <w:numPr>
          <w:ilvl w:val="0"/>
          <w:numId w:val="1055"/>
        </w:numPr>
      </w:pPr>
      <w:hyperlink r:id="rId155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5"/>
        </w:numPr>
      </w:pPr>
      <w:hyperlink r:id="rId156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7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6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6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6"/>
        </w:numPr>
      </w:pPr>
      <w:r>
        <w:t xml:space="preserve">Includes Bitbucket Pipelines context enrichment if available (line 2019)</w:t>
      </w:r>
    </w:p>
    <w:bookmarkEnd w:id="158"/>
    <w:bookmarkStart w:id="162" w:name="sec48"/>
    <w:p>
      <w:pPr>
        <w:pStyle w:val="Heading3"/>
      </w:pPr>
      <w:r>
        <w:t xml:space="preserve">8.3 Response Construction</w:t>
      </w:r>
    </w:p>
    <w:p>
      <w:pPr>
        <w:pStyle w:val="Compact"/>
        <w:numPr>
          <w:ilvl w:val="0"/>
          <w:numId w:val="1057"/>
        </w:numPr>
      </w:pPr>
      <w:hyperlink r:id="rId159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8"/>
        </w:numPr>
      </w:pPr>
      <w:hyperlink r:id="rId160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8"/>
        </w:numPr>
      </w:pPr>
      <w:hyperlink r:id="rId161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62"/>
    <w:bookmarkStart w:id="166" w:name="sec49"/>
    <w:p>
      <w:pPr>
        <w:pStyle w:val="Heading3"/>
      </w:pPr>
      <w:r>
        <w:t xml:space="preserve">8.4 CLI Output (Script-Mode Only)</w:t>
      </w:r>
    </w:p>
    <w:p>
      <w:pPr>
        <w:pStyle w:val="Compact"/>
        <w:numPr>
          <w:ilvl w:val="0"/>
          <w:numId w:val="1059"/>
        </w:numPr>
      </w:pPr>
      <w:hyperlink r:id="rId163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60"/>
        </w:numPr>
      </w:pPr>
      <w:hyperlink r:id="rId164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60"/>
        </w:numPr>
      </w:pPr>
      <w:hyperlink r:id="rId165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73" w:name="sec50"/>
    <w:p>
      <w:pPr>
        <w:pStyle w:val="Heading2"/>
      </w:pPr>
      <w:r>
        <w:t xml:space="preserve">9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9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70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46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7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8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71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72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3"/>
    <w:bookmarkStart w:id="206" w:name="sec51"/>
    <w:p>
      <w:pPr>
        <w:pStyle w:val="Heading2"/>
      </w:pPr>
      <w:r>
        <w:t xml:space="preserve">10 Class Reference</w:t>
      </w:r>
    </w:p>
    <w:bookmarkStart w:id="184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4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84"/>
    <w:bookmarkStart w:id="201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85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201"/>
    <w:bookmarkStart w:id="205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02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5"/>
    <w:bookmarkEnd w:id="206"/>
    <w:bookmarkStart w:id="215" w:name="sec55"/>
    <w:p>
      <w:pPr>
        <w:pStyle w:val="Heading2"/>
      </w:pPr>
      <w:r>
        <w:t xml:space="preserve">11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23" w:name="sec56"/>
    <w:p>
      <w:pPr>
        <w:pStyle w:val="Heading2"/>
      </w:pPr>
      <w:r>
        <w:t xml:space="preserve">12 Module Loading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16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2"/>
        </w:numPr>
      </w:pPr>
      <w:hyperlink r:id="rId217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2"/>
        </w:numPr>
      </w:pPr>
      <w:hyperlink r:id="rId218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2"/>
        </w:numPr>
      </w:pPr>
      <w:hyperlink r:id="rId219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20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21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22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23"/>
    <w:bookmarkStart w:id="235" w:name="sec57"/>
    <w:p>
      <w:pPr>
        <w:pStyle w:val="Heading2"/>
      </w:pPr>
      <w:r>
        <w:t xml:space="preserve">13 Testing</w:t>
      </w:r>
    </w:p>
    <w:bookmarkStart w:id="229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7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8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9"/>
    <w:bookmarkStart w:id="234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4"/>
    <w:bookmarkEnd w:id="235"/>
    <w:bookmarkStart w:id="240" w:name="sec60"/>
    <w:p>
      <w:pPr>
        <w:pStyle w:val="Heading2"/>
      </w:pPr>
      <w:r>
        <w:t xml:space="preserve">14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21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40"/>
    <w:bookmarkStart w:id="251" w:name="sec61"/>
    <w:p>
      <w:pPr>
        <w:pStyle w:val="Heading2"/>
      </w:pPr>
      <w:r>
        <w:t xml:space="preserve">15 Documentation References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44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45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46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7">
        <w:r>
          <w:rPr>
            <w:rStyle w:val="VerbatimChar"/>
          </w:rPr>
          <w:t xml:space="preserve">Generic\scom-auth.md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8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9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50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51"/>
    <w:bookmarkEnd w:id="25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2026-09-08T12:09:16Z</dcterms:created>
  <dcterms:modified xsi:type="dcterms:W3CDTF">2026-09-08T12:09:16Z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