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ertto-friendlylabel-sec1"/>
    <w:p>
      <w:pPr>
        <w:pStyle w:val="Heading1"/>
      </w:pPr>
      <w:r>
        <w:t xml:space="preserve">_ConvertTo-FriendlyLabel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Turns a code key (e.g. DnsResolved, OneViewHost) into a friendly label (</w:t>
      </w:r>
      <w:r>
        <w:t xml:space="preserve">“DNS Resolved”</w:t>
      </w:r>
      <w:r>
        <w:t xml:space="preserve">,</w:t>
      </w:r>
      <w:r>
        <w:t xml:space="preserve"> </w:t>
      </w:r>
      <w:r>
        <w:t xml:space="preserve">“One View Host”</w:t>
      </w:r>
      <w:r>
        <w:t xml:space="preserve">) for human-readable output.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Turns a code 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DnsResolved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OneViewHost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into a friendly</w:t>
      </w:r>
      <w:r>
        <w:br/>
      </w:r>
      <w:r>
        <w:rPr>
          <w:rStyle w:val="NormalTok"/>
        </w:rPr>
        <w:t xml:space="preserve">        label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"DNS Resolved"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View Host"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human-readable output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2026-09-08T12:09:21Z</dcterms:created>
  <dcterms:modified xsi:type="dcterms:W3CDTF">2026-09-08T12:09:21Z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./src/powershell/Automation/Private/OutputFormatter.ps1</vt:lpwstr>
  </property>
</Properties>
</file>