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 NOT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this file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32, 31,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§32 → §33).</w:t>
      </w:r>
    </w:p>
    <w:p>
      <w:pPr>
        <w:pStyle w:val="Compact"/>
        <w:numPr>
          <w:ilvl w:val="0"/>
          <w:numId w:val="1004"/>
        </w:numPr>
      </w:pPr>
      <w:r>
        <w:t xml:space="preserve">Date it today; put it first in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too.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§30 slipped to the bottom once).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hand-maintained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</w:p>
    <w:p>
      <w:pPr>
        <w:pStyle w:val="FirstParagraph"/>
      </w:pPr>
      <w:r>
        <w:t xml:space="preserve">When you add or renumber a section,</w:t>
      </w:r>
      <w:r>
        <w:t xml:space="preserve"> </w:t>
      </w:r>
      <w:r>
        <w:rPr>
          <w:b/>
          <w:bCs/>
        </w:rPr>
        <w:t xml:space="preserve">update both blocks</w:t>
      </w:r>
      <w:r>
        <w:t xml:space="preserve"> </w:t>
      </w:r>
      <w:r>
        <w:t xml:space="preserve">in the same pass (same position, same number). They are NOT auto-regenerated by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for this file (see below).</w:t>
      </w:r>
    </w:p>
    <w:bookmarkEnd w:id="14"/>
    <w:bookmarkStart w:id="15" w:name="sec12"/>
    <w:p>
      <w:pPr>
        <w:pStyle w:val="Heading2"/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on this file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, which is a validator/fixer that:</w:t>
      </w:r>
    </w:p>
    <w:p>
      <w:pPr>
        <w:pStyle w:val="Compact"/>
        <w:numPr>
          <w:ilvl w:val="0"/>
          <w:numId w:val="1008"/>
        </w:numPr>
      </w:pPr>
      <w:r>
        <w:t xml:space="preserve">expects exactly one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per file and anchors above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appends its own auto-generated TOC/nested headings.</w:t>
      </w:r>
    </w:p>
    <w:p>
      <w:pPr>
        <w:pStyle w:val="FirstParagraph"/>
      </w:pPr>
      <w:r>
        <w:rPr>
          <w:rStyle w:val="VerbatimChar"/>
        </w:rPr>
        <w:t xml:space="preserve">recent-changes.md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 </w:t>
      </w:r>
      <w:r>
        <w:t xml:space="preserve">flat TOC plus manually-numbered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sub-anchors (not heading-derived ids), so running</w:t>
      </w:r>
      <w:r>
        <w:t xml:space="preserve"> </w:t>
      </w:r>
      <w:r>
        <w:rPr>
          <w:rStyle w:val="VerbatimChar"/>
        </w:rPr>
        <w:t xml:space="preserve">add-anchors</w:t>
      </w:r>
      <w:r>
        <w:t xml:space="preserve"> </w:t>
      </w:r>
      <w:r>
        <w:t xml:space="preserve">here produces a</w:t>
      </w:r>
      <w:r>
        <w:t xml:space="preserve"> </w:t>
      </w:r>
      <w:r>
        <w:rPr>
          <w:b/>
          <w:bCs/>
        </w:rPr>
        <w:t xml:space="preserve">duplicate, stale auto-TOC</w:t>
      </w:r>
      <w:r>
        <w:t xml:space="preserve"> </w:t>
      </w:r>
      <w:r>
        <w:t xml:space="preserve">with broken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(e.g. </w:t>
      </w:r>
      <w:r>
        <w:rPr>
          <w:rStyle w:val="VerbatimChar"/>
        </w:rPr>
        <w:t xml:space="preserve">#root-cause-3</w:t>
      </w:r>
      <w:r>
        <w:t xml:space="preserve">). Instead:</w:t>
      </w:r>
    </w:p>
    <w:p>
      <w:pPr>
        <w:pStyle w:val="Compact"/>
        <w:numPr>
          <w:ilvl w:val="0"/>
          <w:numId w:val="1009"/>
        </w:numPr>
      </w:pPr>
      <w:r>
        <w:t xml:space="preserve">Keep the manual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in sync by hand (per the template above).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Order by date, not by number.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table, and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must all be sorted newest-first by the</w:t>
      </w:r>
      <w:r>
        <w:t xml:space="preserve"> </w:t>
      </w:r>
      <w:r>
        <w:rPr>
          <w:rStyle w:val="VerbatimChar"/>
        </w:rPr>
        <w:t xml:space="preserve">| 2026-… |</w:t>
      </w:r>
      <w:r>
        <w:t xml:space="preserve"> </w:t>
      </w:r>
      <w:r>
        <w:t xml:space="preserve">date.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32, 31, 30, …, 2, 1</w:t>
      </w:r>
      <w:r>
        <w:t xml:space="preserve"> </w:t>
      </w:r>
      <w:r>
        <w:t xml:space="preserve">top-to-bottom.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2026-09-06T22:10:16Z</dcterms:created>
  <dcterms:modified xsi:type="dcterms:W3CDTF">2026-09-06T22:10:16Z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