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c1"/>
    <w:p>
      <w:pPr>
        <w:pStyle w:val="Heading1"/>
      </w:pPr>
      <w:r>
        <w:t xml:space="preserve">GDPR Compliance Statement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Data Protection by Design and Default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1. Data Minimization (Article 5(1)(c))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2. Purpose Limitation (Article 5(1)(b))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3. Storage Limitation (Article 5(1)(e))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4. Integrity &amp; Confidentiality (Article 5(1)(f))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Personal Data Processing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Lawful Basis for Processing (Article 6)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Data Subject Rights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Data Protection Impact Assessment (DPIA)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Data Breach Notification</w:t>
        </w:r>
      </w:hyperlink>
    </w:p>
    <w:p>
      <w:pPr>
        <w:pStyle w:val="Compact"/>
        <w:numPr>
          <w:ilvl w:val="0"/>
          <w:numId w:val="1001"/>
        </w:numPr>
      </w:pPr>
      <w:hyperlink w:anchor="sec14">
        <w:r>
          <w:rPr>
            <w:rStyle w:val="Hyperlink"/>
          </w:rPr>
          <w:t xml:space="preserve">International Data Transfers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Third-Party Processors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Data Controller Responsibilities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Records of Processing Activities (ROPA)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Compliance Checklist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Contact</w:t>
        </w:r>
      </w:hyperlink>
    </w:p>
    <w:bookmarkEnd w:id="9"/>
    <w:bookmarkStart w:id="10" w:name="sec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GDPR compliance measures implemented in the HPE ProLiant Windows Server ISO Automation repository for the EU Bank client.</w:t>
      </w:r>
    </w:p>
    <w:bookmarkEnd w:id="10"/>
    <w:bookmarkStart w:id="15" w:name="sec4"/>
    <w:p>
      <w:pPr>
        <w:pStyle w:val="Heading2"/>
      </w:pPr>
      <w:r>
        <w:t xml:space="preserve">Data Protection by Design and Default</w:t>
      </w:r>
    </w:p>
    <w:bookmarkStart w:id="11" w:name="sec5"/>
    <w:p>
      <w:pPr>
        <w:pStyle w:val="Heading3"/>
      </w:pPr>
      <w:r>
        <w:t xml:space="preserve">1. Data Minimization (Article 5(1)(c))</w:t>
      </w:r>
    </w:p>
    <w:p>
      <w:pPr>
        <w:pStyle w:val="FirstParagraph"/>
      </w:pPr>
      <w:r>
        <w:rPr>
          <w:b/>
          <w:bCs/>
        </w:rPr>
        <w:t xml:space="preserve">Collected:</w:t>
      </w:r>
      <w:r>
        <w:t xml:space="preserve"> </w:t>
      </w:r>
      <w:r>
        <w:t xml:space="preserve">Server hostnames/IPs (technical identifiers, not personal data), firmware/driver component names and versions, Windows patch KB numbers and status, ISO checksums and metadata, build timestamps and success/failure status.</w:t>
      </w:r>
    </w:p>
    <w:p>
      <w:pPr>
        <w:pStyle w:val="BodyText"/>
      </w:pPr>
      <w:r>
        <w:rPr>
          <w:b/>
          <w:bCs/>
        </w:rPr>
        <w:t xml:space="preserve">Not collected:</w:t>
      </w:r>
      <w:r>
        <w:t xml:space="preserve"> </w:t>
      </w:r>
      <w:r>
        <w:t xml:space="preserve">User names, emails, or personal identifiers; end-user data from Windows installations; application data from target servers; network traffic content.</w:t>
      </w:r>
    </w:p>
    <w:bookmarkEnd w:id="11"/>
    <w:bookmarkStart w:id="12" w:name="sec6"/>
    <w:p>
      <w:pPr>
        <w:pStyle w:val="Heading3"/>
      </w:pPr>
      <w:r>
        <w:t xml:space="preserve">2. Purpose Limitation (Article 5(1)(b))</w:t>
      </w:r>
    </w:p>
    <w:p>
      <w:pPr>
        <w:pStyle w:val="FirstParagraph"/>
      </w:pPr>
      <w:r>
        <w:t xml:space="preserve">Data is used solely for: building and deploying customized Windows Server ISOs; monitoring installation progress; reporting compliance and vulnerability status; auditing and troubleshooting the automation pipeline. Not repurposed for marketing, profiling, or unrelated analytics.</w:t>
      </w:r>
    </w:p>
    <w:bookmarkEnd w:id="12"/>
    <w:bookmarkStart w:id="13" w:name="sec7"/>
    <w:p>
      <w:pPr>
        <w:pStyle w:val="Heading3"/>
      </w:pPr>
      <w:r>
        <w:t xml:space="preserve">3. Storage Limitation (Article 5(1)(e))</w:t>
      </w:r>
    </w:p>
    <w:p>
      <w:pPr>
        <w:pStyle w:val="Compact"/>
        <w:numPr>
          <w:ilvl w:val="0"/>
          <w:numId w:val="1003"/>
        </w:numPr>
      </w:pPr>
      <w:r>
        <w:t xml:space="preserve">Build logs (JSON): 30 days in CI workspace, then purged</w:t>
      </w:r>
    </w:p>
    <w:p>
      <w:pPr>
        <w:pStyle w:val="Compact"/>
        <w:numPr>
          <w:ilvl w:val="0"/>
          <w:numId w:val="1003"/>
        </w:numPr>
      </w:pPr>
      <w:r>
        <w:t xml:space="preserve">Build records: as configured by CI admin (typically 90 days)</w:t>
      </w:r>
    </w:p>
    <w:p>
      <w:pPr>
        <w:pStyle w:val="Compact"/>
        <w:numPr>
          <w:ilvl w:val="0"/>
          <w:numId w:val="1003"/>
        </w:numPr>
      </w:pPr>
      <w:r>
        <w:t xml:space="preserve">Audit reports: archived monthly to secure, access-controlled storage for 7 years</w:t>
      </w:r>
    </w:p>
    <w:p>
      <w:pPr>
        <w:pStyle w:val="Compact"/>
        <w:numPr>
          <w:ilvl w:val="0"/>
          <w:numId w:val="1003"/>
        </w:numPr>
      </w:pPr>
      <w:r>
        <w:t xml:space="preserve">Docker image layers: no logs or sensitive data embedded</w:t>
      </w:r>
    </w:p>
    <w:p>
      <w:pPr>
        <w:pStyle w:val="FirstParagraph"/>
      </w:pPr>
      <w:r>
        <w:t xml:space="preserve">All logs and artifacts stored within the EU region. No cross-border transfers outside the EEA without Standard Contractual Clauses.</w:t>
      </w:r>
    </w:p>
    <w:bookmarkEnd w:id="13"/>
    <w:bookmarkStart w:id="14" w:name="sec8"/>
    <w:p>
      <w:pPr>
        <w:pStyle w:val="Heading3"/>
      </w:pPr>
      <w:r>
        <w:t xml:space="preserve">4. Integrity &amp; Confidentiality (Article 5(1)(f))</w:t>
      </w:r>
    </w:p>
    <w:p>
      <w:pPr>
        <w:pStyle w:val="Compact"/>
        <w:numPr>
          <w:ilvl w:val="0"/>
          <w:numId w:val="1004"/>
        </w:numPr>
      </w:pPr>
      <w:r>
        <w:t xml:space="preserve">Credentials stored in CI Credentials Store (encrypted)</w:t>
      </w:r>
    </w:p>
    <w:p>
      <w:pPr>
        <w:pStyle w:val="Compact"/>
        <w:numPr>
          <w:ilvl w:val="0"/>
          <w:numId w:val="1004"/>
        </w:numPr>
      </w:pPr>
      <w:r>
        <w:t xml:space="preserve">Audit logs write-once, append-only (tamper-evident)</w:t>
      </w:r>
    </w:p>
    <w:p>
      <w:pPr>
        <w:pStyle w:val="Compact"/>
        <w:numPr>
          <w:ilvl w:val="0"/>
          <w:numId w:val="1004"/>
        </w:numPr>
      </w:pPr>
      <w:r>
        <w:t xml:space="preserve">Docker images built with non-root user (</w:t>
      </w:r>
      <w:r>
        <w:rPr>
          <w:rStyle w:val="VerbatimChar"/>
        </w:rPr>
        <w:t xml:space="preserve">appuser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Network communications use TLS 1.3 (HTTPS to HPE, OpsRamp)</w:t>
      </w:r>
    </w:p>
    <w:p>
      <w:pPr>
        <w:pStyle w:val="Compact"/>
        <w:numPr>
          <w:ilvl w:val="0"/>
          <w:numId w:val="1004"/>
        </w:numPr>
      </w:pPr>
      <w:r>
        <w:t xml:space="preserve">Each build runs in an isolated workspace</w:t>
      </w:r>
    </w:p>
    <w:p>
      <w:pPr>
        <w:pStyle w:val="Compact"/>
        <w:numPr>
          <w:ilvl w:val="0"/>
          <w:numId w:val="1004"/>
        </w:numPr>
      </w:pPr>
      <w:r>
        <w:t xml:space="preserve">CI agents run with least-privilege service accounts</w:t>
      </w:r>
    </w:p>
    <w:bookmarkEnd w:id="14"/>
    <w:bookmarkEnd w:id="15"/>
    <w:bookmarkStart w:id="16" w:name="sec9"/>
    <w:p>
      <w:pPr>
        <w:pStyle w:val="Heading2"/>
      </w:pPr>
      <w:r>
        <w:t xml:space="preserve">Personal Data Processing</w:t>
      </w:r>
    </w:p>
    <w:p>
      <w:pPr>
        <w:pStyle w:val="FirstParagraph"/>
      </w:pPr>
      <w:r>
        <w:t xml:space="preserve">Personal data = any information relating to an identified or identifiable natural person. This automation processes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personal data; server hostnames are technical identifiers unless explicitly configured otherwise (which is prohibited). Since zero personal data is processed, most GDPR obligations (data subject rights, consent) do not apply.</w:t>
      </w:r>
    </w:p>
    <w:bookmarkEnd w:id="16"/>
    <w:bookmarkStart w:id="17" w:name="sec10"/>
    <w:p>
      <w:pPr>
        <w:pStyle w:val="Heading2"/>
      </w:pPr>
      <w:r>
        <w:t xml:space="preserve">Lawful Basis for Processing (Article 6)</w:t>
      </w:r>
    </w:p>
    <w:p>
      <w:pPr>
        <w:pStyle w:val="FirstParagraph"/>
      </w:pPr>
      <w:r>
        <w:t xml:space="preserve">Processing is necessary for a task in the public interest / exercise of official authority (Article 6(1)(e)) or for the controller’s legitimate interests (Article 6(1)(f)): the Bank has a legitimate interest in automating server provisioning for security, compliance, and operational efficiency, and it is required by IT infrastructure contracts and SLAs.</w:t>
      </w:r>
    </w:p>
    <w:bookmarkEnd w:id="17"/>
    <w:bookmarkStart w:id="18" w:name="sec11"/>
    <w:p>
      <w:pPr>
        <w:pStyle w:val="Heading2"/>
      </w:pPr>
      <w:r>
        <w:t xml:space="preserve">Data Subject Rights</w:t>
      </w:r>
    </w:p>
    <w:p>
      <w:pPr>
        <w:pStyle w:val="FirstParagraph"/>
      </w:pPr>
      <w:r>
        <w:t xml:space="preserve">Not applicable, as no personal data is processed. The Bank’s DPO may request audit logs and processing records at any time.</w:t>
      </w:r>
    </w:p>
    <w:bookmarkEnd w:id="18"/>
    <w:bookmarkStart w:id="19" w:name="sec12"/>
    <w:p>
      <w:pPr>
        <w:pStyle w:val="Heading2"/>
      </w:pPr>
      <w:r>
        <w:t xml:space="preserve">Data Protection Impact Assessment (DPIA)</w:t>
      </w:r>
    </w:p>
    <w:p>
      <w:pPr>
        <w:pStyle w:val="FirstParagraph"/>
      </w:pPr>
      <w:r>
        <w:t xml:space="preserve">Screening completed — processing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likely to result in high risk: no personal data is processed, the automation affects infrastructure not individuals, and security measures are robust. Full DPIA not required; this statement serves as the assessment record.</w:t>
      </w:r>
    </w:p>
    <w:bookmarkEnd w:id="19"/>
    <w:bookmarkStart w:id="20" w:name="sec13"/>
    <w:p>
      <w:pPr>
        <w:pStyle w:val="Heading2"/>
      </w:pPr>
      <w:r>
        <w:t xml:space="preserve">Data Breach Notification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Detection:</w:t>
      </w:r>
      <w:r>
        <w:t xml:space="preserve"> </w:t>
      </w:r>
      <w:r>
        <w:t xml:space="preserve">CI security logs and audit trails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Notification:</w:t>
      </w:r>
      <w:r>
        <w:t xml:space="preserve"> </w:t>
      </w:r>
      <w:r>
        <w:t xml:space="preserve">report to Bank CIRT within 1 hour of discovery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GDPR Notification:</w:t>
      </w:r>
      <w:r>
        <w:t xml:space="preserve"> </w:t>
      </w:r>
      <w:r>
        <w:t xml:space="preserve">CIRT assesses personal-data impact and notifies the supervisory authority within 72 hours if required</w:t>
      </w:r>
    </w:p>
    <w:p>
      <w:pPr>
        <w:pStyle w:val="FirstParagraph"/>
      </w:pPr>
      <w:r>
        <w:t xml:space="preserve">Scenarios covered: unauthorized access to CI credentials; container escape compromising host or other builds; log injection (unlikely given non-personal data).</w:t>
      </w:r>
    </w:p>
    <w:bookmarkEnd w:id="20"/>
    <w:bookmarkStart w:id="21" w:name="sec14"/>
    <w:p>
      <w:pPr>
        <w:pStyle w:val="Heading2"/>
      </w:pPr>
      <w:r>
        <w:t xml:space="preserve">International Data Transfers</w:t>
      </w:r>
    </w:p>
    <w:p>
      <w:pPr>
        <w:pStyle w:val="Compact"/>
        <w:numPr>
          <w:ilvl w:val="0"/>
          <w:numId w:val="1006"/>
        </w:numPr>
      </w:pPr>
      <w:r>
        <w:t xml:space="preserve">All infrastructure (CI agents, Docker hosts, storage) resides within the EEA</w:t>
      </w:r>
    </w:p>
    <w:p>
      <w:pPr>
        <w:pStyle w:val="Compact"/>
        <w:numPr>
          <w:ilvl w:val="0"/>
          <w:numId w:val="1006"/>
        </w:numPr>
      </w:pPr>
      <w:r>
        <w:t xml:space="preserve">External APIs (HPE, OpsRamp) may process data outside the EEA; ensure adequacy decisions or SCCs</w:t>
      </w:r>
    </w:p>
    <w:p>
      <w:pPr>
        <w:pStyle w:val="Compact"/>
        <w:numPr>
          <w:ilvl w:val="0"/>
          <w:numId w:val="1006"/>
        </w:numPr>
      </w:pPr>
      <w:r>
        <w:t xml:space="preserve">No personal data is transferred; technical data only</w:t>
      </w:r>
    </w:p>
    <w:bookmarkEnd w:id="21"/>
    <w:bookmarkStart w:id="22" w:name="sec15"/>
    <w:p>
      <w:pPr>
        <w:pStyle w:val="Heading2"/>
      </w:pPr>
      <w:r>
        <w:t xml:space="preserve">Third-Party Processors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528"/>
        <w:gridCol w:w="1250"/>
        <w:gridCol w:w="2084"/>
        <w:gridCol w:w="1389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Safeguards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HPE (downloads.hpe.com)</w:t>
            </w:r>
          </w:p>
        </w:tc>
        <w:tc>
          <w:tcPr/>
          <w:p>
            <w:pPr>
              <w:pStyle w:val="Compact"/>
            </w:pPr>
            <w:r>
              <w:t xml:space="preserve">Firmware/driver downloads</w:t>
            </w:r>
          </w:p>
        </w:tc>
        <w:tc>
          <w:tcPr/>
          <w:p>
            <w:pPr>
              <w:pStyle w:val="Compact"/>
            </w:pPr>
            <w:r>
              <w:t xml:space="preserve">Firmware components, server models</w:t>
            </w:r>
          </w:p>
        </w:tc>
        <w:tc>
          <w:tcPr/>
          <w:p>
            <w:pPr>
              <w:pStyle w:val="Compact"/>
            </w:pPr>
            <w:r>
              <w:t xml:space="preserve">Global CDN</w:t>
            </w:r>
          </w:p>
        </w:tc>
        <w:tc>
          <w:tcPr/>
          <w:p>
            <w:pPr>
              <w:pStyle w:val="Compact"/>
            </w:pPr>
            <w:r>
              <w:t xml:space="preserve">TLS 1.3, no personal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OpsRamp (opsramp.com)</w:t>
            </w:r>
          </w:p>
        </w:tc>
        <w:tc>
          <w:tcPr/>
          <w:p>
            <w:pPr>
              <w:pStyle w:val="Compact"/>
            </w:pPr>
            <w:r>
              <w:t xml:space="preserve">Monitoring/alerting</w:t>
            </w:r>
          </w:p>
        </w:tc>
        <w:tc>
          <w:tcPr/>
          <w:p>
            <w:pPr>
              <w:pStyle w:val="Compact"/>
            </w:pPr>
            <w:r>
              <w:t xml:space="preserve">Server status, metric values</w:t>
            </w:r>
          </w:p>
        </w:tc>
        <w:tc>
          <w:tcPr/>
          <w:p>
            <w:pPr>
              <w:pStyle w:val="Compact"/>
            </w:pPr>
            <w:r>
              <w:t xml:space="preserve">US (EU region available)</w:t>
            </w:r>
          </w:p>
        </w:tc>
        <w:tc>
          <w:tcPr/>
          <w:p>
            <w:pPr>
              <w:pStyle w:val="Compact"/>
            </w:pPr>
            <w:r>
              <w:t xml:space="preserve">TLS, SOC 2 Type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Hub (if used)</w:t>
            </w:r>
          </w:p>
        </w:tc>
        <w:tc>
          <w:tcPr/>
          <w:p>
            <w:pPr>
              <w:pStyle w:val="Compact"/>
            </w:pPr>
            <w:r>
              <w:t xml:space="preserve">Base image pulls</w:t>
            </w:r>
          </w:p>
        </w:tc>
        <w:tc>
          <w:tcPr/>
          <w:p>
            <w:pPr>
              <w:pStyle w:val="Compact"/>
            </w:pPr>
            <w:r>
              <w:t xml:space="preserve">Base OS layers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Content trust (Notary), signed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(Windows Update)</w:t>
            </w:r>
          </w:p>
        </w:tc>
        <w:tc>
          <w:tcPr/>
          <w:p>
            <w:pPr>
              <w:pStyle w:val="Compact"/>
            </w:pPr>
            <w:r>
              <w:t xml:space="preserve">Security patches</w:t>
            </w:r>
          </w:p>
        </w:tc>
        <w:tc>
          <w:tcPr/>
          <w:p>
            <w:pPr>
              <w:pStyle w:val="Compact"/>
            </w:pPr>
            <w:r>
              <w:t xml:space="preserve">KB numbers, patch metadata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</w:tbl>
    <w:p>
      <w:pPr>
        <w:pStyle w:val="BodyText"/>
      </w:pPr>
      <w:r>
        <w:t xml:space="preserve">All processors must comply with the Bank’s third-party risk management requirements.</w:t>
      </w:r>
    </w:p>
    <w:bookmarkEnd w:id="22"/>
    <w:bookmarkStart w:id="23" w:name="sec16"/>
    <w:p>
      <w:pPr>
        <w:pStyle w:val="Heading2"/>
      </w:pPr>
      <w:r>
        <w:t xml:space="preserve">Data Controller Responsibilities</w:t>
      </w:r>
    </w:p>
    <w:p>
      <w:pPr>
        <w:pStyle w:val="Compact"/>
        <w:numPr>
          <w:ilvl w:val="0"/>
          <w:numId w:val="1007"/>
        </w:numPr>
      </w:pPr>
      <w:r>
        <w:t xml:space="preserve">Confirm this automation does not process personal data</w:t>
      </w:r>
    </w:p>
    <w:p>
      <w:pPr>
        <w:pStyle w:val="Compact"/>
        <w:numPr>
          <w:ilvl w:val="0"/>
          <w:numId w:val="1007"/>
        </w:numPr>
      </w:pPr>
      <w:r>
        <w:t xml:space="preserve">Rotate CI credentials regularly (90 days)</w:t>
      </w:r>
    </w:p>
    <w:p>
      <w:pPr>
        <w:pStyle w:val="Compact"/>
        <w:numPr>
          <w:ilvl w:val="0"/>
          <w:numId w:val="1007"/>
        </w:numPr>
      </w:pPr>
      <w:r>
        <w:t xml:space="preserve">Review audit logs weekly for anomalies</w:t>
      </w:r>
    </w:p>
    <w:p>
      <w:pPr>
        <w:pStyle w:val="Compact"/>
        <w:numPr>
          <w:ilvl w:val="0"/>
          <w:numId w:val="1007"/>
        </w:numPr>
      </w:pPr>
      <w:r>
        <w:t xml:space="preserve">Maintain this assessment documentation</w:t>
      </w:r>
    </w:p>
    <w:p>
      <w:pPr>
        <w:pStyle w:val="Compact"/>
        <w:numPr>
          <w:ilvl w:val="0"/>
          <w:numId w:val="1007"/>
        </w:numPr>
      </w:pPr>
      <w:r>
        <w:t xml:space="preserve">Respond to DPO inquiries</w:t>
      </w:r>
    </w:p>
    <w:bookmarkEnd w:id="23"/>
    <w:bookmarkStart w:id="24" w:name="sec17"/>
    <w:p>
      <w:pPr>
        <w:pStyle w:val="Heading2"/>
      </w:pPr>
      <w:r>
        <w:t xml:space="preserve">Records of Processing Activities (ROPA)</w:t>
      </w:r>
    </w:p>
    <w:p>
      <w:pPr>
        <w:pStyle w:val="FirstParagraph"/>
      </w:pPr>
      <w:r>
        <w:t xml:space="preserve">Article 30 record: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name:</w:t>
      </w:r>
      <w:r>
        <w:t xml:space="preserve"> </w:t>
      </w:r>
      <w:r>
        <w:t xml:space="preserve">HPE Windows ISO Automation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Automated server provisioning and patching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categories:</w:t>
      </w:r>
      <w:r>
        <w:t xml:space="preserve"> </w:t>
      </w:r>
      <w:r>
        <w:t xml:space="preserve">Server hostnames, firmware versions, patch statuses, build 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Retention:</w:t>
      </w:r>
      <w:r>
        <w:t xml:space="preserve"> </w:t>
      </w:r>
      <w:r>
        <w:t xml:space="preserve">30 days (logs), 7 years (audit reports in archive)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measures:</w:t>
      </w:r>
      <w:r>
        <w:t xml:space="preserve"> </w:t>
      </w:r>
      <w:r>
        <w:t xml:space="preserve">as described above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transfers:</w:t>
      </w:r>
      <w:r>
        <w:t xml:space="preserve"> </w:t>
      </w:r>
      <w:r>
        <w:t xml:space="preserve">to HPE, OpsRamp (non-EEA possible)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DPIA:</w:t>
      </w:r>
      <w:r>
        <w:t xml:space="preserve"> </w:t>
      </w:r>
      <w:r>
        <w:t xml:space="preserve">Not required (low risk)</w:t>
      </w:r>
    </w:p>
    <w:bookmarkEnd w:id="24"/>
    <w:bookmarkStart w:id="25" w:name="sec18"/>
    <w:p>
      <w:pPr>
        <w:pStyle w:val="Heading2"/>
      </w:pPr>
      <w:r>
        <w:t xml:space="preserve">Compliance Checklist</w:t>
      </w:r>
    </w:p>
    <w:p>
      <w:pPr>
        <w:pStyle w:val="Compact"/>
        <w:numPr>
          <w:ilvl w:val="0"/>
          <w:numId w:val="1008"/>
        </w:numPr>
      </w:pPr>
      <w:r>
        <w:t xml:space="preserve">Data minimization verified - no personal data collected</w:t>
      </w:r>
    </w:p>
    <w:p>
      <w:pPr>
        <w:pStyle w:val="Compact"/>
        <w:numPr>
          <w:ilvl w:val="0"/>
          <w:numId w:val="1009"/>
        </w:numPr>
      </w:pPr>
      <w:r>
        <w:t xml:space="preserve">Purpose limitation documented</w:t>
      </w:r>
    </w:p>
    <w:p>
      <w:pPr>
        <w:pStyle w:val="Compact"/>
        <w:numPr>
          <w:ilvl w:val="0"/>
          <w:numId w:val="1010"/>
        </w:numPr>
      </w:pPr>
      <w:r>
        <w:t xml:space="preserve">Retention periods defined and automated</w:t>
      </w:r>
    </w:p>
    <w:p>
      <w:pPr>
        <w:pStyle w:val="Compact"/>
        <w:numPr>
          <w:ilvl w:val="0"/>
          <w:numId w:val="1011"/>
        </w:numPr>
      </w:pPr>
      <w:r>
        <w:t xml:space="preserve">Credentials stored in CI Credential Store (not in repo)</w:t>
      </w:r>
    </w:p>
    <w:p>
      <w:pPr>
        <w:pStyle w:val="Compact"/>
        <w:numPr>
          <w:ilvl w:val="0"/>
          <w:numId w:val="1012"/>
        </w:numPr>
      </w:pPr>
      <w:r>
        <w:t xml:space="preserve">Access controls: CI agents run as non-root</w:t>
      </w:r>
    </w:p>
    <w:p>
      <w:pPr>
        <w:pStyle w:val="Compact"/>
        <w:numPr>
          <w:ilvl w:val="0"/>
          <w:numId w:val="1013"/>
        </w:numPr>
      </w:pPr>
      <w:r>
        <w:t xml:space="preserve">Docker image uses non-root user (</w:t>
      </w:r>
      <w:r>
        <w:rPr>
          <w:rStyle w:val="VerbatimChar"/>
        </w:rPr>
        <w:t xml:space="preserve">appuser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Audit logging enabled (</w:t>
      </w:r>
      <w:r>
        <w:rPr>
          <w:rStyle w:val="VerbatimChar"/>
        </w:rPr>
        <w:t xml:space="preserve">generated/logs/audit/audit_trail.log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TLS enforced for all external API calls</w:t>
      </w:r>
    </w:p>
    <w:p>
      <w:pPr>
        <w:pStyle w:val="Compact"/>
        <w:numPr>
          <w:ilvl w:val="0"/>
          <w:numId w:val="1016"/>
        </w:numPr>
      </w:pPr>
      <w:r>
        <w:t xml:space="preserve">No secrets in configuration files (use environment variables only)</w:t>
      </w:r>
    </w:p>
    <w:p>
      <w:pPr>
        <w:pStyle w:val="Compact"/>
        <w:numPr>
          <w:ilvl w:val="0"/>
          <w:numId w:val="1017"/>
        </w:numPr>
      </w:pPr>
      <w:r>
        <w:t xml:space="preserve">Data residency confirmed (EEA-hosted infrastructure)</w:t>
      </w:r>
    </w:p>
    <w:p>
      <w:pPr>
        <w:pStyle w:val="Compact"/>
        <w:numPr>
          <w:ilvl w:val="0"/>
          <w:numId w:val="1018"/>
        </w:numPr>
      </w:pPr>
      <w:r>
        <w:t xml:space="preserve">Third-party processor review completed</w:t>
      </w:r>
    </w:p>
    <w:p>
      <w:pPr>
        <w:pStyle w:val="Compact"/>
        <w:numPr>
          <w:ilvl w:val="0"/>
          <w:numId w:val="1019"/>
        </w:numPr>
      </w:pPr>
      <w:r>
        <w:t xml:space="preserve">Incident response plan includes this system</w:t>
      </w:r>
    </w:p>
    <w:p>
      <w:pPr>
        <w:pStyle w:val="Compact"/>
        <w:numPr>
          <w:ilvl w:val="0"/>
          <w:numId w:val="1020"/>
        </w:numPr>
      </w:pPr>
      <w:r>
        <w:t xml:space="preserve">Documentation reviewed by DPO (pending)</w:t>
      </w:r>
    </w:p>
    <w:p>
      <w:pPr>
        <w:pStyle w:val="Compact"/>
        <w:numPr>
          <w:ilvl w:val="0"/>
          <w:numId w:val="1021"/>
        </w:numPr>
      </w:pPr>
      <w:r>
        <w:t xml:space="preserve">Annual privacy review scheduled</w:t>
      </w:r>
    </w:p>
    <w:bookmarkEnd w:id="25"/>
    <w:bookmarkStart w:id="26" w:name="sec19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22"/>
        </w:numPr>
      </w:pPr>
      <w:r>
        <w:t xml:space="preserve">Data Protection Officer: dpo@yourbank.com</w:t>
      </w:r>
    </w:p>
    <w:p>
      <w:pPr>
        <w:pStyle w:val="Compact"/>
        <w:numPr>
          <w:ilvl w:val="0"/>
          <w:numId w:val="1022"/>
        </w:numPr>
      </w:pPr>
      <w:r>
        <w:t xml:space="preserve">Platform Engineering: platform@yourbank.com</w:t>
      </w:r>
    </w:p>
    <w:p>
      <w:pPr>
        <w:pStyle w:val="Compact"/>
        <w:numPr>
          <w:ilvl w:val="0"/>
          <w:numId w:val="1022"/>
        </w:numPr>
      </w:pPr>
      <w:r>
        <w:t xml:space="preserve">Security Team: security@yourbank.com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Effective date:</w:t>
      </w:r>
      <w:r>
        <w:t xml:space="preserve"> </w:t>
      </w:r>
      <w:r>
        <w:t xml:space="preserve">2026-05-14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2027-05-14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Platform Engineering</w:t>
      </w:r>
    </w:p>
    <w:bookmarkEnd w:id="26"/>
    <w:bookmarkEnd w:id="2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2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2026-10-16T03:47:53Z</dcterms:created>
  <dcterms:modified xsi:type="dcterms:W3CDTF">2026-10-16T03:47:53Z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