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convertto-friendlylabel-sec1"/>
    <w:p>
      <w:pPr>
        <w:pStyle w:val="Heading1"/>
      </w:pPr>
      <w:r>
        <w:t xml:space="preserve">_ConvertTo-FriendlyLabel {#sec1}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Turns a code key (e.g. DnsResolved, OneViewHost) into a friendly label (</w:t>
      </w:r>
      <w:r>
        <w:t xml:space="preserve">“DNS Resolved”</w:t>
      </w:r>
      <w:r>
        <w:t xml:space="preserve">,</w:t>
      </w:r>
      <w:r>
        <w:t xml:space="preserve"> </w:t>
      </w:r>
      <w:r>
        <w:t xml:space="preserve">“One View Host”</w:t>
      </w:r>
      <w:r>
        <w:t xml:space="preserve">) for human-readable output.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Turns a code key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DnsResolved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OneViewHost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into a friendly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"DNS Resolved"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 View Host"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human-readable output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2026-10-16T03:47:59Z</dcterms:created>
  <dcterms:modified xsi:type="dcterms:W3CDTF">2026-10-16T03:47:59Z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2026-10-16</vt:lpwstr>
  </property>
  <property fmtid="{D5CDD505-2E9C-101B-9397-08002B2CF9AE}" pid="4" name="source">
    <vt:lpwstr>./src/powershell/Automation/Private/OutputFormatter.ps1</vt:lpwstr>
  </property>
</Properties>
</file>