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oneviewserverlistresult-sec1"/>
    <w:p>
      <w:pPr>
        <w:pStyle w:val="Heading1"/>
      </w:pPr>
      <w:r>
        <w:t xml:space="preserve">_Emit-OneViewServerListResult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server-list result via the shared, DRY _Publish-Result helper (consistent with every other automation command).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server-list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 _Publish-Result helper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./src/powershell/Automation/Public/Get-OneViewServerList.ps1</vt:lpwstr>
  </property>
</Properties>
</file>