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ileio_deephashtable-sec1"/>
    <w:p>
      <w:pPr>
        <w:pStyle w:val="Heading1"/>
      </w:pPr>
      <w:r>
        <w:t xml:space="preserve">_FileIO_DeepHashtable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file helper that io deep hashtable.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file helper that io deep hashtable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./src/powershell/Automation/Private/FileIO.ps1</vt:lpwstr>
  </property>
</Properties>
</file>