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Update-GitLabCoverageBlock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Columns: Run | Date/Time | Coverage % | Threshold | Enforcement | Notes. Records the code-coverage figure measured by the pipeline’s test-unit job (Cobertura) per pipeline run, so coverage drift over time is visible in the same evidence document as the security findings.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GitLab pipeline coverage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Columns: Run | Date/Time | Coverage % | Threshold | Enforcement |</w:t>
      </w:r>
      <w:r>
        <w:br/>
      </w:r>
      <w:r>
        <w:rPr>
          <w:rStyle w:val="StringTok"/>
        </w:rPr>
        <w:t xml:space="preserve">        Notes. Records the code-coverage figure measured by the pipeline'</w:t>
      </w:r>
      <w:r>
        <w:rPr>
          <w:rStyle w:val="NormalTok"/>
        </w:rPr>
        <w:t xml:space="preserve">s</w:t>
      </w:r>
      <w:r>
        <w:br/>
      </w:r>
      <w:r>
        <w:rPr>
          <w:rStyle w:val="NormalTok"/>
        </w:rPr>
        <w:t xml:space="preserve">        test-unit job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Cobertura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per pipeline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coverage drift over time</w:t>
      </w:r>
      <w:r>
        <w:br/>
      </w:r>
      <w:r>
        <w:rPr>
          <w:rStyle w:val="NormalTok"/>
        </w:rPr>
        <w:t xml:space="preserve">        is visible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same evidence document as the security findings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2026-09-08T14:31:45Z</dcterms:created>
  <dcterms:modified xsi:type="dcterms:W3CDTF">2026-09-08T14:31:45Z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./scripts/TestProgress.Common.ps1</vt:lpwstr>
  </property>
</Properties>
</file>