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friendlylabel-sec1"/>
    <w:p>
      <w:pPr>
        <w:pStyle w:val="Heading1"/>
      </w:pPr>
      <w:r>
        <w:t xml:space="preserve">_ConvertTo-FriendlyLabel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Turns a code key (e.g. DnsResolved, OneViewHost) into a friendly label (</w:t>
      </w:r>
      <w:r>
        <w:t xml:space="preserve">“DNS Resolved”</w:t>
      </w:r>
      <w:r>
        <w:t xml:space="preserve">,</w:t>
      </w:r>
      <w:r>
        <w:t xml:space="preserve"> </w:t>
      </w:r>
      <w:r>
        <w:t xml:space="preserve">“One View Host”</w:t>
      </w:r>
      <w:r>
        <w:t xml:space="preserve">) for human-readable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Turns a code 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friendly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"DNS Resolved"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View Host"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human-readable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2026-09-08T14:31:45Z</dcterms:created>
  <dcterms:modified xsi:type="dcterms:W3CDTF">2026-09-08T14:31:45Z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./src/powershell/Automation/Private/OutputFormatter.ps1</vt:lpwstr>
  </property>
</Properties>
</file>