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New-ComplianceEvidence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EMIR Art. 34 and DORA Art. 8-10 require that ICT controls be demonstrable, not merely present. This job collects the artefacts produced by the lint, test, PowerShell SAST and secret detection jobs into a single dated record retained as a GitLab artifact. The output is designed to be copied nightly into the Bank’s authoritative evidence store; the GitLab artifact retention is a convenience copy only. The script never fails the pipeline on its own (it is evidence, not a gate), but it emits a clear warning if a downstream control failed so the result is not mistaken for a clean run.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-OutputPath</w:t>
            </w:r>
          </w:p>
        </w:tc>
        <w:tc>
          <w:tcPr/>
          <w:p>
            <w:pPr>
              <w:pStyle w:val="Compact"/>
            </w:pPr>
            <w:r>
              <w:t xml:space="preserve">Path of the JSON evidence file to write.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Produce a machine-readable evidence record of the controls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pipeline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EMIR 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and DORA 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require that ICT controls be demonstrable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 merely present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This job collects the artefacts produced by the lint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PowerShell SAST and secret detection jobs into a single dated record</w:t>
      </w:r>
      <w:r>
        <w:br/>
      </w:r>
      <w:r>
        <w:rPr>
          <w:rStyle w:val="NormalTok"/>
        </w:rPr>
        <w:t xml:space="preserve">    retained as a GitLab 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output is designed to be copied nightly</w:t>
      </w:r>
      <w:r>
        <w:br/>
      </w:r>
      <w:r>
        <w:rPr>
          <w:rStyle w:val="NormalTok"/>
        </w:rPr>
        <w:t xml:space="preserve">    into the Bank</w:t>
      </w:r>
      <w:r>
        <w:rPr>
          <w:rStyle w:val="StringTok"/>
        </w:rPr>
        <w:t xml:space="preserve">'s authoritative evidence store; the GitLab artifact retention</w:t>
      </w:r>
      <w:r>
        <w:br/>
      </w:r>
      <w:r>
        <w:rPr>
          <w:rStyle w:val="StringTok"/>
        </w:rPr>
        <w:t xml:space="preserve">    is a convenience copy only.</w:t>
      </w:r>
      <w:r>
        <w:br/>
      </w:r>
      <w:r>
        <w:br/>
      </w:r>
      <w:r>
        <w:rPr>
          <w:rStyle w:val="StringTok"/>
        </w:rPr>
        <w:t xml:space="preserve">    The script never fails the pipeline on its own (it is evidence, not a gate),</w:t>
      </w:r>
      <w:r>
        <w:br/>
      </w:r>
      <w:r>
        <w:rPr>
          <w:rStyle w:val="StringTok"/>
        </w:rPr>
        <w:t xml:space="preserve">    but it emits a clear warning if a downstream control failed so the result</w:t>
      </w:r>
      <w:r>
        <w:br/>
      </w:r>
      <w:r>
        <w:rPr>
          <w:rStyle w:val="StringTok"/>
        </w:rPr>
        <w:t xml:space="preserve">    is not mistaken for a clean run.</w:t>
      </w:r>
      <w:r>
        <w:br/>
      </w:r>
      <w:r>
        <w:br/>
      </w:r>
      <w:r>
        <w:rPr>
          <w:rStyle w:val="StringTok"/>
        </w:rPr>
        <w:t xml:space="preserve">.PARAMETER OutputPath</w:t>
      </w:r>
      <w:r>
        <w:br/>
      </w:r>
      <w:r>
        <w:rPr>
          <w:rStyle w:val="StringTok"/>
        </w:rPr>
        <w:t xml:space="preserve">    Path of the JSON evidence file to write.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./scripts/ci/New-ComplianceEvidence.ps1</vt:lpwstr>
  </property>
</Properties>
</file>