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Remove-OtherOneViewModules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Guarantees only the pinned module’s cmdlets (Connect-OVMgmt, etc.) are in scope, so a stray install (e.g. HPEOneView.840/.820) cannot be used instead of the locked version. Also drops sessions established by removed modules.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Remove any loaded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 other than the pinned one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Guarantees only the pinned module</w:t>
      </w:r>
      <w:r>
        <w:rPr>
          <w:rStyle w:val="StringTok"/>
        </w:rPr>
        <w:t xml:space="preserve">'s cmdlets (Connect-OVMgmt, etc.) are in scope,</w:t>
      </w:r>
      <w:r>
        <w:br/>
      </w:r>
      <w:r>
        <w:rPr>
          <w:rStyle w:val="StringTok"/>
        </w:rPr>
        <w:t xml:space="preserve">        so a stray install (e.g. HPEOneView.840/.820) cannot be used instead of the locked</w:t>
      </w:r>
      <w:r>
        <w:br/>
      </w:r>
      <w:r>
        <w:rPr>
          <w:rStyle w:val="StringTok"/>
        </w:rPr>
        <w:t xml:space="preserve">        version. Also drops sessions established by removed modules.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