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getoneviewversionresult-sec1"/>
    <w:p>
      <w:pPr>
        <w:pStyle w:val="Heading1"/>
      </w:pPr>
      <w:r>
        <w:t xml:space="preserve">_Emit-GetOneViewVersionResult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OneView version result via the shared, DRY _Publish-Result helper (consistent with every other automation command).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OneView version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 _Publish-Result</w:t>
      </w:r>
      <w:r>
        <w:br/>
      </w:r>
      <w:r>
        <w:rPr>
          <w:rStyle w:val="NormalTok"/>
        </w:rPr>
        <w:t xml:space="preserve">        helper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consistent with every other automation command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./src/powershell/Automation/Public/Get-OneViewVersion.ps1</vt:lpwstr>
  </property>
</Properties>
</file>