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8" w:name="sec1"/>
    <w:p>
      <w:pPr>
        <w:pStyle w:val="Heading1"/>
      </w:pPr>
      <w:r>
        <w:t xml:space="preserve">recent-changes.md — maintenance guide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Numbering convention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Adding a new entry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Section template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NN) One-line, title-case heading</w:t>
        </w:r>
      </w:hyperlink>
    </w:p>
    <w:p>
      <w:pPr>
        <w:pStyle w:val="Compact"/>
        <w:numPr>
          <w:ilvl w:val="0"/>
          <w:numId w:val="1001"/>
        </w:numPr>
      </w:pPr>
      <w:hyperlink w:anchor="sec10">
        <w:r>
          <w:rPr>
            <w:rStyle w:val="Hyperlink"/>
          </w:rPr>
          <w:t xml:space="preserve">Anchor conventions</w:t>
        </w:r>
      </w:hyperlink>
    </w:p>
    <w:p>
      <w:pPr>
        <w:pStyle w:val="Compact"/>
        <w:numPr>
          <w:ilvl w:val="0"/>
          <w:numId w:val="1001"/>
        </w:numPr>
      </w:pPr>
      <w:hyperlink w:anchor="sec11">
        <w:r>
          <w:rPr>
            <w:rStyle w:val="Hyperlink"/>
          </w:rPr>
          <w:t xml:space="preserve">Keeping the TOC + summary table in sync</w:t>
        </w:r>
      </w:hyperlink>
    </w:p>
    <w:p>
      <w:pPr>
        <w:pStyle w:val="Compact"/>
        <w:numPr>
          <w:ilvl w:val="0"/>
          <w:numId w:val="1001"/>
        </w:numPr>
      </w:pPr>
      <w:hyperlink w:anchor="sec12">
        <w:r>
          <w:rPr>
            <w:rStyle w:val="Hyperlink"/>
          </w:rPr>
          <w:t xml:space="preserve">DO NOT run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make fix-docs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on this file</w:t>
        </w:r>
      </w:hyperlink>
    </w:p>
    <w:p>
      <w:pPr>
        <w:pStyle w:val="Compact"/>
        <w:numPr>
          <w:ilvl w:val="0"/>
          <w:numId w:val="1001"/>
        </w:numPr>
      </w:pPr>
      <w:hyperlink w:anchor="sec13">
        <w:r>
          <w:rPr>
            <w:rStyle w:val="Hyperlink"/>
          </w:rPr>
          <w:t xml:space="preserve">Regenerating the DOCX corpus</w:t>
        </w:r>
      </w:hyperlink>
    </w:p>
    <w:p>
      <w:pPr>
        <w:pStyle w:val="Compact"/>
        <w:numPr>
          <w:ilvl w:val="0"/>
          <w:numId w:val="1001"/>
        </w:numPr>
      </w:pPr>
      <w:hyperlink w:anchor="sec14">
        <w:r>
          <w:rPr>
            <w:rStyle w:val="Hyperlink"/>
          </w:rPr>
          <w:t xml:space="preserve">Sorting discipline</w:t>
        </w:r>
      </w:hyperlink>
    </w:p>
    <w:p>
      <w:pPr>
        <w:pStyle w:val="FirstParagraph"/>
      </w:pPr>
      <w:r>
        <w:t xml:space="preserve">How to keep</w:t>
      </w:r>
      <w:r>
        <w:t xml:space="preserve"> </w:t>
      </w:r>
      <w:r>
        <w:rPr>
          <w:rStyle w:val="VerbatimChar"/>
        </w:rPr>
        <w:t xml:space="preserve">recent-changes.md</w:t>
      </w:r>
      <w:r>
        <w:t xml:space="preserve"> </w:t>
      </w:r>
      <w:r>
        <w:t xml:space="preserve">(the repo-wide changelog at the project root)</w:t>
      </w:r>
      <w:r>
        <w:t xml:space="preserve"> </w:t>
      </w:r>
      <w:r>
        <w:t xml:space="preserve">ordered, contiguous, and link-valid, and how to regenerate its Word DOCX.</w:t>
      </w:r>
    </w:p>
    <w:bookmarkEnd w:id="9"/>
    <w:bookmarkStart w:id="10" w:name="sec3"/>
    <w:p>
      <w:pPr>
        <w:pStyle w:val="Heading2"/>
      </w:pPr>
      <w:r>
        <w:t xml:space="preserve">Numbering convention</w:t>
      </w:r>
    </w:p>
    <w:p>
      <w:pPr>
        <w:pStyle w:val="Compact"/>
        <w:numPr>
          <w:ilvl w:val="0"/>
          <w:numId w:val="1003"/>
        </w:numPr>
      </w:pPr>
      <w:r>
        <w:t xml:space="preserve">Sections are numbered</w:t>
      </w:r>
      <w:r>
        <w:t xml:space="preserve"> </w:t>
      </w:r>
      <w:r>
        <w:rPr>
          <w:b/>
          <w:bCs/>
        </w:rPr>
        <w:t xml:space="preserve">contiguously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1..N</w:t>
      </w:r>
      <w:r>
        <w:rPr>
          <w:b/>
          <w:bCs/>
        </w:rPr>
        <w:t xml:space="preserve"> </w:t>
      </w:r>
      <w:r>
        <w:rPr>
          <w:b/>
          <w:bCs/>
        </w:rPr>
        <w:t xml:space="preserve">and stored in reverse-chronological order</w:t>
      </w:r>
      <w:r>
        <w:t xml:space="preserve">: the</w:t>
      </w:r>
      <w:r>
        <w:t xml:space="preserve"> </w:t>
      </w:r>
      <w:r>
        <w:rPr>
          <w:b/>
          <w:bCs/>
        </w:rPr>
        <w:t xml:space="preserve">newest</w:t>
      </w:r>
      <w:r>
        <w:t xml:space="preserve"> </w:t>
      </w:r>
      <w:r>
        <w:t xml:space="preserve">change is</w:t>
      </w:r>
      <w:r>
        <w:t xml:space="preserve"> </w:t>
      </w:r>
      <w:r>
        <w:rPr>
          <w:rStyle w:val="VerbatimChar"/>
        </w:rPr>
        <w:t xml:space="preserve">§N</w:t>
      </w:r>
      <w:r>
        <w:t xml:space="preserve"> </w:t>
      </w:r>
      <w:r>
        <w:t xml:space="preserve">(highest number, at the top) and the</w:t>
      </w:r>
      <w:r>
        <w:t xml:space="preserve"> </w:t>
      </w:r>
      <w:r>
        <w:rPr>
          <w:b/>
          <w:bCs/>
        </w:rPr>
        <w:t xml:space="preserve">oldest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§1</w:t>
      </w:r>
      <w:r>
        <w:t xml:space="preserve"> </w:t>
      </w:r>
      <w:r>
        <w:t xml:space="preserve">(at the bottom).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date</w:t>
      </w:r>
      <w:r>
        <w:t xml:space="preserve"> </w:t>
      </w:r>
      <w:r>
        <w:t xml:space="preserve">in each section’s</w:t>
      </w:r>
      <w:r>
        <w:t xml:space="preserve"> </w:t>
      </w:r>
      <w:r>
        <w:rPr>
          <w:rStyle w:val="VerbatimChar"/>
        </w:rPr>
        <w:t xml:space="preserve">| Date | … | Author |</w:t>
      </w:r>
      <w:r>
        <w:t xml:space="preserve"> </w:t>
      </w:r>
      <w:r>
        <w:t xml:space="preserve">row is the source of truth for ordering. Numbers must follow that order — i.e. strictly descending in the file.</w:t>
      </w:r>
    </w:p>
    <w:p>
      <w:pPr>
        <w:pStyle w:val="Compact"/>
        <w:numPr>
          <w:ilvl w:val="0"/>
          <w:numId w:val="1003"/>
        </w:numPr>
      </w:pPr>
      <w:r>
        <w:t xml:space="preserve">If a section is ever deleted,</w:t>
      </w:r>
      <w:r>
        <w:t xml:space="preserve"> </w:t>
      </w:r>
      <w:r>
        <w:rPr>
          <w:b/>
          <w:bCs/>
        </w:rPr>
        <w:t xml:space="preserve">renumber</w:t>
      </w:r>
      <w:r>
        <w:t xml:space="preserve"> </w:t>
      </w:r>
      <w:r>
        <w:t xml:space="preserve">the remaining ones so the sequence stays</w:t>
      </w:r>
      <w:r>
        <w:t xml:space="preserve"> </w:t>
      </w:r>
      <w:r>
        <w:rPr>
          <w:rStyle w:val="VerbatimChar"/>
        </w:rPr>
        <w:t xml:space="preserve">32, 31, …, 2, 1</w:t>
      </w:r>
      <w:r>
        <w:t xml:space="preserve"> </w:t>
      </w:r>
      <w:r>
        <w:t xml:space="preserve">with no gaps. A gap is what makes the PO ask</w:t>
      </w:r>
      <w:r>
        <w:t xml:space="preserve"> </w:t>
      </w:r>
      <w:r>
        <w:t xml:space="preserve">“where’s §15?”</w:t>
      </w:r>
      <w:r>
        <w:t xml:space="preserve">.</w:t>
      </w:r>
    </w:p>
    <w:bookmarkEnd w:id="10"/>
    <w:bookmarkStart w:id="11" w:name="sec4"/>
    <w:p>
      <w:pPr>
        <w:pStyle w:val="Heading2"/>
      </w:pPr>
      <w:r>
        <w:t xml:space="preserve">Adding a new entry</w:t>
      </w:r>
    </w:p>
    <w:p>
      <w:pPr>
        <w:pStyle w:val="Compact"/>
        <w:numPr>
          <w:ilvl w:val="0"/>
          <w:numId w:val="1004"/>
        </w:numPr>
      </w:pPr>
      <w:r>
        <w:t xml:space="preserve">Insert the new section as the</w:t>
      </w:r>
      <w:r>
        <w:t xml:space="preserve"> </w:t>
      </w:r>
      <w:r>
        <w:rPr>
          <w:b/>
          <w:bCs/>
        </w:rPr>
        <w:t xml:space="preserve">first</w:t>
      </w:r>
      <w:r>
        <w:t xml:space="preserve"> </w:t>
      </w:r>
      <w:r>
        <w:t xml:space="preserve">block under</w:t>
      </w:r>
      <w:r>
        <w:t xml:space="preserve"> </w:t>
      </w:r>
      <w:r>
        <w:rPr>
          <w:rStyle w:val="VerbatimChar"/>
        </w:rPr>
        <w:t xml:space="preserve">## Change details</w:t>
      </w:r>
      <w:r>
        <w:t xml:space="preserve"> </w:t>
      </w:r>
      <w:r>
        <w:t xml:space="preserve">(newest first).</w:t>
      </w:r>
    </w:p>
    <w:p>
      <w:pPr>
        <w:pStyle w:val="Compact"/>
        <w:numPr>
          <w:ilvl w:val="0"/>
          <w:numId w:val="1004"/>
        </w:numPr>
      </w:pPr>
      <w:r>
        <w:t xml:space="preserve">Number it</w:t>
      </w:r>
      <w:r>
        <w:t xml:space="preserve"> </w:t>
      </w:r>
      <w:r>
        <w:rPr>
          <w:b/>
          <w:bCs/>
        </w:rPr>
        <w:t xml:space="preserve">current max + 1</w:t>
      </w:r>
      <w:r>
        <w:t xml:space="preserve"> </w:t>
      </w:r>
      <w:r>
        <w:t xml:space="preserve">(e.g. after §32 → §33).</w:t>
      </w:r>
    </w:p>
    <w:p>
      <w:pPr>
        <w:pStyle w:val="Compact"/>
        <w:numPr>
          <w:ilvl w:val="0"/>
          <w:numId w:val="1004"/>
        </w:numPr>
      </w:pPr>
      <w:r>
        <w:t xml:space="preserve">Date it today; put it first in the</w:t>
      </w:r>
      <w:r>
        <w:t xml:space="preserve"> </w:t>
      </w:r>
      <w:r>
        <w:rPr>
          <w:rStyle w:val="VerbatimChar"/>
        </w:rPr>
        <w:t xml:space="preserve">## Table of Contents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## Summary of changes</w:t>
      </w:r>
      <w:r>
        <w:t xml:space="preserve"> </w:t>
      </w:r>
      <w:r>
        <w:t xml:space="preserve">table too.</w:t>
      </w:r>
    </w:p>
    <w:p>
      <w:pPr>
        <w:pStyle w:val="Compact"/>
        <w:numPr>
          <w:ilvl w:val="0"/>
          <w:numId w:val="1004"/>
        </w:numPr>
      </w:pPr>
      <w:r>
        <w:t xml:space="preserve">Update any narrative</w:t>
      </w:r>
      <w:r>
        <w:t xml:space="preserve"> </w:t>
      </w:r>
      <w:r>
        <w:rPr>
          <w:rStyle w:val="VerbatimChar"/>
        </w:rPr>
        <w:t xml:space="preserve">§N</w:t>
      </w:r>
      <w:r>
        <w:t xml:space="preserve"> </w:t>
      </w:r>
      <w:r>
        <w:t xml:space="preserve">cross-references in older entries if their numbers shifted.</w:t>
      </w:r>
    </w:p>
    <w:bookmarkEnd w:id="11"/>
    <w:bookmarkStart w:id="12" w:name="sec5"/>
    <w:p>
      <w:pPr>
        <w:pStyle w:val="Heading2"/>
      </w:pPr>
      <w:r>
        <w:t xml:space="preserve">Section template</w:t>
      </w:r>
    </w:p>
    <w:p>
      <w:pPr>
        <w:pStyle w:val="SourceCode"/>
      </w:pPr>
      <w:r>
        <w:br/>
      </w:r>
      <w:r>
        <w:br/>
      </w:r>
      <w:r>
        <w:rPr>
          <w:rStyle w:val="FunctionTok"/>
        </w:rPr>
        <w:t xml:space="preserve">### NN) One-line, title-case heading {#sec6}</w:t>
      </w:r>
      <w:r>
        <w:br/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**Date** | **Change description summary** | **Author**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 </w:t>
      </w:r>
      <w:r>
        <w:br/>
      </w:r>
      <w:r>
        <w:rPr>
          <w:rStyle w:val="PreprocessorTok"/>
        </w:rPr>
        <w:t xml:space="preserve">| ---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| ---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| ---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2026-09-03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Concise bullet summary of what + why (≤ 1 line, no prose wrap).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Kev Everall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 </w:t>
      </w:r>
      <w:r>
        <w:br/>
      </w:r>
      <w:r>
        <w:br/>
      </w:r>
      <w:r>
        <w:br/>
      </w:r>
      <w:r>
        <w:rPr>
          <w:rStyle w:val="FunctionTok"/>
        </w:rPr>
        <w:t xml:space="preserve">#### Root cause {#sec7}</w:t>
      </w:r>
      <w:r>
        <w:br/>
      </w:r>
      <w:r>
        <w:br/>
      </w:r>
      <w:r>
        <w:rPr>
          <w:rStyle w:val="NormalTok"/>
        </w:rPr>
        <w:t xml:space="preserve">What was broken / what assumption was wrong.</w:t>
      </w:r>
      <w:r>
        <w:br/>
      </w:r>
      <w:r>
        <w:br/>
      </w:r>
      <w:r>
        <w:br/>
      </w:r>
      <w:r>
        <w:rPr>
          <w:rStyle w:val="FunctionTok"/>
        </w:rPr>
        <w:t xml:space="preserve">#### Fix {#sec8}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**`affected/file.ext`** — what changed, how, and why this resolves it.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Keep bullets parallel: file/area first, then change + rationale.</w:t>
      </w:r>
      <w:r>
        <w:br/>
      </w:r>
      <w:r>
        <w:br/>
      </w:r>
      <w:r>
        <w:br/>
      </w:r>
      <w:r>
        <w:rPr>
          <w:rStyle w:val="FunctionTok"/>
        </w:rPr>
        <w:t xml:space="preserve">#### Verification {#sec9}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Concrete checks: test counts, parser passes, regenerated artifacts, lint.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NN</w:t>
      </w:r>
      <w:r>
        <w:t xml:space="preserve"> </w:t>
      </w:r>
      <w:r>
        <w:t xml:space="preserve">is the section number;</w:t>
      </w:r>
      <w:r>
        <w:t xml:space="preserve"> </w:t>
      </w:r>
      <w:r>
        <w:rPr>
          <w:rStyle w:val="VerbatimChar"/>
        </w:rPr>
        <w:t xml:space="preserve">&lt;slug&gt;</w:t>
      </w:r>
      <w:r>
        <w:t xml:space="preserve"> </w:t>
      </w:r>
      <w:r>
        <w:t xml:space="preserve">is the heading lower-cased, spaces →</w:t>
      </w:r>
      <w:r>
        <w:t xml:space="preserve"> </w:t>
      </w:r>
      <w:r>
        <w:rPr>
          <w:rStyle w:val="VerbatimChar"/>
        </w:rPr>
        <w:t xml:space="preserve">-</w:t>
      </w:r>
      <w:r>
        <w:t xml:space="preserve">, punctuation stripped (matches</w:t>
      </w:r>
      <w:r>
        <w:t xml:space="preserve"> </w:t>
      </w:r>
      <w:r>
        <w:rPr>
          <w:rStyle w:val="VerbatimChar"/>
        </w:rPr>
        <w:t xml:space="preserve">## Table of Contents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| Date | summary | Author |</w:t>
      </w:r>
      <w:r>
        <w:t xml:space="preserve"> </w:t>
      </w:r>
      <w:r>
        <w:t xml:space="preserve">row</w:t>
      </w:r>
      <w:r>
        <w:t xml:space="preserve"> </w:t>
      </w:r>
      <w:r>
        <w:rPr>
          <w:b/>
          <w:bCs/>
        </w:rPr>
        <w:t xml:space="preserve">must</w:t>
      </w:r>
      <w:r>
        <w:t xml:space="preserve"> </w:t>
      </w:r>
      <w:r>
        <w:t xml:space="preserve">be the first table in the section — it feeds the</w:t>
      </w:r>
      <w:r>
        <w:t xml:space="preserve"> </w:t>
      </w:r>
      <w:r>
        <w:rPr>
          <w:rStyle w:val="VerbatimChar"/>
        </w:rPr>
        <w:t xml:space="preserve">## Summary of changes</w:t>
      </w:r>
      <w:r>
        <w:t xml:space="preserve"> </w:t>
      </w:r>
      <w:r>
        <w:t xml:space="preserve">table and the ordering. Without it the entry is unsorted/orphaned (this is exactly how §30 slipped to the bottom once).</w:t>
      </w:r>
    </w:p>
    <w:bookmarkEnd w:id="12"/>
    <w:bookmarkStart w:id="13" w:name="sec10"/>
    <w:p>
      <w:pPr>
        <w:pStyle w:val="Heading2"/>
      </w:pPr>
      <w:r>
        <w:t xml:space="preserve">Anchor conventions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Section anchor</w:t>
      </w:r>
      <w:r>
        <w:t xml:space="preserve"> </w:t>
      </w:r>
      <w:r>
        <w:t xml:space="preserve">(above the heading):</w:t>
      </w:r>
      <w:r>
        <w:t xml:space="preserve"> </w:t>
      </w:r>
      <w:r>
        <w:rPr>
          <w:rStyle w:val="VerbatimChar"/>
        </w:rPr>
        <w:t xml:space="preserve">&lt;a id="NN-&lt;slug&gt;"&gt;&lt;/a&gt;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Sub-anchors</w:t>
      </w:r>
      <w:r>
        <w:t xml:space="preserve"> </w:t>
      </w:r>
      <w:r>
        <w:t xml:space="preserve">(above each</w:t>
      </w:r>
      <w:r>
        <w:t xml:space="preserve"> </w:t>
      </w:r>
      <w:r>
        <w:rPr>
          <w:rStyle w:val="VerbatimChar"/>
        </w:rPr>
        <w:t xml:space="preserve">####</w:t>
      </w:r>
      <w:r>
        <w:t xml:space="preserve">):</w:t>
      </w:r>
      <w:r>
        <w:t xml:space="preserve"> </w:t>
      </w:r>
      <w:r>
        <w:rPr>
          <w:rStyle w:val="VerbatimChar"/>
        </w:rPr>
        <w:t xml:space="preserve">&lt;a name="root-cause-NN"&gt;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&lt;a name="fix-NN"&gt;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&lt;a name="verification-NN"&gt;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&lt;a name="caveats-NN"&gt;</w:t>
      </w:r>
      <w:r>
        <w:t xml:space="preserve">, and any custom ones (</w:t>
      </w:r>
      <w:r>
        <w:rPr>
          <w:rStyle w:val="VerbatimChar"/>
        </w:rPr>
        <w:t xml:space="preserve">scope-NN</w:t>
      </w:r>
      <w:r>
        <w:t xml:space="preserve">,</w:t>
      </w:r>
      <w:r>
        <w:t xml:space="preserve"> </w:t>
      </w:r>
      <w:r>
        <w:rPr>
          <w:rStyle w:val="VerbatimChar"/>
        </w:rPr>
        <w:t xml:space="preserve">commands-NN</w:t>
      </w:r>
      <w:r>
        <w:t xml:space="preserve">,</w:t>
      </w:r>
      <w:r>
        <w:t xml:space="preserve"> </w:t>
      </w:r>
      <w:r>
        <w:rPr>
          <w:rStyle w:val="VerbatimChar"/>
        </w:rPr>
        <w:t xml:space="preserve">callers-NN</w:t>
      </w:r>
      <w:r>
        <w:t xml:space="preserve">, etc.). The trailing number</w:t>
      </w:r>
      <w:r>
        <w:t xml:space="preserve"> </w:t>
      </w:r>
      <w:r>
        <w:rPr>
          <w:b/>
          <w:bCs/>
        </w:rPr>
        <w:t xml:space="preserve">must</w:t>
      </w:r>
      <w:r>
        <w:t xml:space="preserve"> </w:t>
      </w:r>
      <w:r>
        <w:t xml:space="preserve">equal the section number — rename both together when renumbering.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Internal links</w:t>
      </w:r>
      <w:r>
        <w:t xml:space="preserve"> </w:t>
      </w:r>
      <w:r>
        <w:t xml:space="preserve">use these exact ids;</w:t>
      </w:r>
      <w:r>
        <w:t xml:space="preserve"> </w:t>
      </w:r>
      <w:r>
        <w:rPr>
          <w:rStyle w:val="VerbatimChar"/>
        </w:rPr>
        <w:t xml:space="preserve">[NN) Title](#nn-slug)</w:t>
      </w:r>
      <w:r>
        <w:t xml:space="preserve"> </w:t>
      </w:r>
      <w:r>
        <w:t xml:space="preserve">in the TOC and</w:t>
      </w:r>
      <w:r>
        <w:t xml:space="preserve"> </w:t>
      </w:r>
      <w:r>
        <w:rPr>
          <w:rStyle w:val="VerbatimChar"/>
        </w:rPr>
        <w:t xml:space="preserve">&lt;a name="…-NN"&gt;</w:t>
      </w:r>
      <w:r>
        <w:t xml:space="preserve"> </w:t>
      </w:r>
      <w:r>
        <w:t xml:space="preserve">in sub-anchors.</w:t>
      </w:r>
    </w:p>
    <w:p>
      <w:pPr>
        <w:pStyle w:val="Compact"/>
        <w:numPr>
          <w:ilvl w:val="0"/>
          <w:numId w:val="1006"/>
        </w:numPr>
      </w:pPr>
      <w:r>
        <w:t xml:space="preserve">Headings themselves are</w:t>
      </w:r>
      <w:r>
        <w:t xml:space="preserve"> </w:t>
      </w:r>
      <w:r>
        <w:rPr>
          <w:rStyle w:val="VerbatimChar"/>
        </w:rPr>
        <w:t xml:space="preserve">### NN) …</w:t>
      </w:r>
      <w:r>
        <w:t xml:space="preserve">. Keep the</w:t>
      </w:r>
      <w:r>
        <w:t xml:space="preserve"> </w:t>
      </w:r>
      <w:r>
        <w:rPr>
          <w:rStyle w:val="VerbatimChar"/>
        </w:rPr>
        <w:t xml:space="preserve">NN)</w:t>
      </w:r>
      <w:r>
        <w:t xml:space="preserve"> </w:t>
      </w:r>
      <w:r>
        <w:t xml:space="preserve">prefix and the closing</w:t>
      </w:r>
      <w:r>
        <w:t xml:space="preserve"> </w:t>
      </w:r>
      <w:r>
        <w:rPr>
          <w:rStyle w:val="VerbatimChar"/>
        </w:rPr>
        <w:t xml:space="preserve">)</w:t>
      </w:r>
      <w:r>
        <w:t xml:space="preserve"> </w:t>
      </w:r>
      <w:r>
        <w:t xml:space="preserve">— the TOC generator (and readers) key on it.</w:t>
      </w:r>
    </w:p>
    <w:bookmarkEnd w:id="13"/>
    <w:bookmarkStart w:id="14" w:name="sec11"/>
    <w:p>
      <w:pPr>
        <w:pStyle w:val="Heading2"/>
      </w:pPr>
      <w:r>
        <w:t xml:space="preserve">Keeping the TOC + summary table in sync</w:t>
      </w:r>
    </w:p>
    <w:p>
      <w:pPr>
        <w:pStyle w:val="FirstParagraph"/>
      </w:pPr>
      <w:r>
        <w:t xml:space="preserve">Two hand-maintained blocks reference every section by number: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## Table of Contents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- [NN) Title](#nn-slug)</w:t>
      </w:r>
      <w:r>
        <w:t xml:space="preserve"> </w:t>
      </w:r>
      <w:r>
        <w:t xml:space="preserve">per entry, newest first.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## Summary of changes</w:t>
      </w:r>
      <w:r>
        <w:t xml:space="preserve"> </w:t>
      </w:r>
      <w:r>
        <w:t xml:space="preserve">— one</w:t>
      </w:r>
      <w:r>
        <w:t xml:space="preserve"> </w:t>
      </w:r>
      <w:r>
        <w:rPr>
          <w:rStyle w:val="VerbatimChar"/>
        </w:rPr>
        <w:t xml:space="preserve">| date | summary | author |</w:t>
      </w:r>
      <w:r>
        <w:t xml:space="preserve"> </w:t>
      </w:r>
      <w:r>
        <w:t xml:space="preserve">row per entry, newest first.</w:t>
      </w:r>
    </w:p>
    <w:p>
      <w:pPr>
        <w:pStyle w:val="FirstParagraph"/>
      </w:pPr>
      <w:r>
        <w:t xml:space="preserve">When you add or renumber a section,</w:t>
      </w:r>
      <w:r>
        <w:t xml:space="preserve"> </w:t>
      </w:r>
      <w:r>
        <w:rPr>
          <w:b/>
          <w:bCs/>
        </w:rPr>
        <w:t xml:space="preserve">update both blocks</w:t>
      </w:r>
      <w:r>
        <w:t xml:space="preserve"> </w:t>
      </w:r>
      <w:r>
        <w:t xml:space="preserve">in the same pass (same position, same number). They are NOT auto-regenerated by</w:t>
      </w:r>
      <w:r>
        <w:t xml:space="preserve"> </w:t>
      </w:r>
      <w:r>
        <w:rPr>
          <w:rStyle w:val="VerbatimChar"/>
        </w:rPr>
        <w:t xml:space="preserve">make fix-docs</w:t>
      </w:r>
      <w:r>
        <w:t xml:space="preserve"> </w:t>
      </w:r>
      <w:r>
        <w:t xml:space="preserve">for this file (see below).</w:t>
      </w:r>
    </w:p>
    <w:bookmarkEnd w:id="14"/>
    <w:bookmarkStart w:id="15" w:name="sec12"/>
    <w:p>
      <w:pPr>
        <w:pStyle w:val="Heading2"/>
      </w:pPr>
      <w:r>
        <w:t xml:space="preserve">DO NOT run</w:t>
      </w:r>
      <w:r>
        <w:t xml:space="preserve"> </w:t>
      </w:r>
      <w:r>
        <w:rPr>
          <w:rStyle w:val="VerbatimChar"/>
        </w:rPr>
        <w:t xml:space="preserve">make fix-docs</w:t>
      </w:r>
      <w:r>
        <w:t xml:space="preserve"> </w:t>
      </w:r>
      <w:r>
        <w:t xml:space="preserve">on this file</w:t>
      </w:r>
    </w:p>
    <w:p>
      <w:pPr>
        <w:pStyle w:val="FirstParagraph"/>
      </w:pPr>
      <w:r>
        <w:rPr>
          <w:rStyle w:val="VerbatimChar"/>
        </w:rPr>
        <w:t xml:space="preserve">make fix-docs</w:t>
      </w:r>
      <w:r>
        <w:t xml:space="preserve"> </w:t>
      </w:r>
      <w:r>
        <w:t xml:space="preserve">runs</w:t>
      </w:r>
      <w:r>
        <w:t xml:space="preserve"> </w:t>
      </w:r>
      <w:r>
        <w:rPr>
          <w:rStyle w:val="VerbatimChar"/>
        </w:rPr>
        <w:t xml:space="preserve">bitbucket-md-anchor-toc.ps1</w:t>
      </w:r>
      <w:r>
        <w:t xml:space="preserve">, which is a validator/fixer that:</w:t>
      </w:r>
    </w:p>
    <w:p>
      <w:pPr>
        <w:pStyle w:val="Compact"/>
        <w:numPr>
          <w:ilvl w:val="0"/>
          <w:numId w:val="1008"/>
        </w:numPr>
      </w:pPr>
      <w:r>
        <w:t xml:space="preserve">expects exactly one</w:t>
      </w:r>
      <w:r>
        <w:t xml:space="preserve"> </w:t>
      </w:r>
      <w:r>
        <w:rPr>
          <w:rStyle w:val="VerbatimChar"/>
        </w:rPr>
        <w:t xml:space="preserve">## Table of Contents</w:t>
      </w:r>
      <w:r>
        <w:t xml:space="preserve"> </w:t>
      </w:r>
      <w:r>
        <w:t xml:space="preserve">per file and anchors above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rPr>
          <w:rStyle w:val="VerbatimChar"/>
        </w:rPr>
        <w:t xml:space="preserve">H2</w:t>
      </w:r>
      <w:r>
        <w:t xml:space="preserve">/</w:t>
      </w:r>
      <w:r>
        <w:rPr>
          <w:rStyle w:val="VerbatimChar"/>
        </w:rPr>
        <w:t xml:space="preserve">H3</w:t>
      </w:r>
      <w:r>
        <w:t xml:space="preserve">, and</w:t>
      </w:r>
    </w:p>
    <w:p>
      <w:pPr>
        <w:pStyle w:val="Compact"/>
        <w:numPr>
          <w:ilvl w:val="0"/>
          <w:numId w:val="1008"/>
        </w:numPr>
      </w:pPr>
      <w:r>
        <w:t xml:space="preserve">appends its own auto-generated TOC/nested headings.</w:t>
      </w:r>
    </w:p>
    <w:p>
      <w:pPr>
        <w:pStyle w:val="FirstParagraph"/>
      </w:pPr>
      <w:r>
        <w:rPr>
          <w:rStyle w:val="VerbatimChar"/>
        </w:rPr>
        <w:t xml:space="preserve">recent-changes.md</w:t>
      </w:r>
      <w:r>
        <w:t xml:space="preserve"> </w:t>
      </w:r>
      <w:r>
        <w:t xml:space="preserve">uses a</w:t>
      </w:r>
      <w:r>
        <w:t xml:space="preserve"> </w:t>
      </w:r>
      <w:r>
        <w:rPr>
          <w:b/>
          <w:bCs/>
        </w:rPr>
        <w:t xml:space="preserve">hand-maintained</w:t>
      </w:r>
      <w:r>
        <w:t xml:space="preserve"> </w:t>
      </w:r>
      <w:r>
        <w:t xml:space="preserve">flat TOC plus manually-numbered</w:t>
      </w:r>
      <w:r>
        <w:t xml:space="preserve"> </w:t>
      </w:r>
      <w:r>
        <w:rPr>
          <w:rStyle w:val="VerbatimChar"/>
        </w:rPr>
        <w:t xml:space="preserve">&lt;a name="…-NN"&gt;</w:t>
      </w:r>
      <w:r>
        <w:t xml:space="preserve"> </w:t>
      </w:r>
      <w:r>
        <w:t xml:space="preserve">sub-anchors (not heading-derived ids), so running</w:t>
      </w:r>
      <w:r>
        <w:t xml:space="preserve"> </w:t>
      </w:r>
      <w:r>
        <w:rPr>
          <w:rStyle w:val="VerbatimChar"/>
        </w:rPr>
        <w:t xml:space="preserve">add-anchors</w:t>
      </w:r>
      <w:r>
        <w:t xml:space="preserve"> </w:t>
      </w:r>
      <w:r>
        <w:t xml:space="preserve">here produces a</w:t>
      </w:r>
      <w:r>
        <w:t xml:space="preserve"> </w:t>
      </w:r>
      <w:r>
        <w:rPr>
          <w:b/>
          <w:bCs/>
        </w:rPr>
        <w:t xml:space="preserve">duplicate, stale auto-TOC</w:t>
      </w:r>
      <w:r>
        <w:t xml:space="preserve"> </w:t>
      </w:r>
      <w:r>
        <w:t xml:space="preserve">with broken</w:t>
      </w:r>
      <w:r>
        <w:t xml:space="preserve"> </w:t>
      </w:r>
      <w:r>
        <w:rPr>
          <w:rStyle w:val="VerbatimChar"/>
        </w:rPr>
        <w:t xml:space="preserve">href</w:t>
      </w:r>
      <w:r>
        <w:t xml:space="preserve">s (e.g. </w:t>
      </w:r>
      <w:r>
        <w:rPr>
          <w:rStyle w:val="VerbatimChar"/>
        </w:rPr>
        <w:t xml:space="preserve">#root-cause-3</w:t>
      </w:r>
      <w:r>
        <w:t xml:space="preserve">). Instead:</w:t>
      </w:r>
    </w:p>
    <w:p>
      <w:pPr>
        <w:pStyle w:val="Compact"/>
        <w:numPr>
          <w:ilvl w:val="0"/>
          <w:numId w:val="1009"/>
        </w:numPr>
      </w:pPr>
      <w:r>
        <w:t xml:space="preserve">Keep the manual</w:t>
      </w:r>
      <w:r>
        <w:t xml:space="preserve"> </w:t>
      </w:r>
      <w:r>
        <w:rPr>
          <w:rStyle w:val="VerbatimChar"/>
        </w:rPr>
        <w:t xml:space="preserve">## Table of Contents</w:t>
      </w:r>
      <w:r>
        <w:t xml:space="preserve"> </w:t>
      </w:r>
      <w:r>
        <w:t xml:space="preserve">block in sync by hand (per the template above).</w:t>
      </w:r>
    </w:p>
    <w:p>
      <w:pPr>
        <w:pStyle w:val="Compact"/>
        <w:numPr>
          <w:ilvl w:val="0"/>
          <w:numId w:val="1009"/>
        </w:numPr>
      </w:pPr>
      <w:r>
        <w:t xml:space="preserve">To</w:t>
      </w:r>
      <w:r>
        <w:t xml:space="preserve"> </w:t>
      </w:r>
      <w:r>
        <w:rPr>
          <w:b/>
          <w:bCs/>
        </w:rPr>
        <w:t xml:space="preserve">validate links</w:t>
      </w:r>
      <w:r>
        <w:t xml:space="preserve"> </w:t>
      </w:r>
      <w:r>
        <w:t xml:space="preserve">without rewriting the file, use the dry-run:</w:t>
      </w:r>
      <w:r>
        <w:t xml:space="preserve"> </w:t>
      </w:r>
      <w:r>
        <w:rPr>
          <w:rStyle w:val="VerbatimChar"/>
        </w:rPr>
        <w:t xml:space="preserve">make fix-docs-dryrun</w:t>
      </w:r>
      <w:r>
        <w:t xml:space="preserve">.</w:t>
      </w:r>
    </w:p>
    <w:bookmarkEnd w:id="15"/>
    <w:bookmarkStart w:id="16" w:name="sec13"/>
    <w:p>
      <w:pPr>
        <w:pStyle w:val="Heading2"/>
      </w:pPr>
      <w:r>
        <w:t xml:space="preserve">Regenerating the DOCX corpus</w:t>
      </w:r>
    </w:p>
    <w:p>
      <w:pPr>
        <w:pStyle w:val="FirstParagraph"/>
      </w:pPr>
      <w:r>
        <w:t xml:space="preserve">The Word DOCX artifacts are generated (not hand-edited):</w:t>
      </w:r>
    </w:p>
    <w:p>
      <w:pPr>
        <w:pStyle w:val="SourceCode"/>
      </w:pPr>
      <w:r>
        <w:rPr>
          <w:rStyle w:val="FunctionTok"/>
        </w:rPr>
        <w:t xml:space="preserve">make</w:t>
      </w:r>
      <w:r>
        <w:rPr>
          <w:rStyle w:val="NormalTok"/>
        </w:rPr>
        <w:t xml:space="preserve"> word-docs          </w:t>
      </w:r>
      <w:r>
        <w:rPr>
          <w:rStyle w:val="CommentTok"/>
        </w:rPr>
        <w:t xml:space="preserve"># all root *.md + docs/**/*.md + wip/*.md -&gt; ./docx/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word-docs-clean    </w:t>
      </w:r>
      <w:r>
        <w:rPr>
          <w:rStyle w:val="CommentTok"/>
        </w:rPr>
        <w:t xml:space="preserve"># rm -rf docx/</w:t>
      </w:r>
    </w:p>
    <w:p>
      <w:pPr>
        <w:pStyle w:val="Compact"/>
        <w:numPr>
          <w:ilvl w:val="0"/>
          <w:numId w:val="1010"/>
        </w:numPr>
      </w:pPr>
      <w:r>
        <w:t xml:space="preserve">Output mirrors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under the project-root</w:t>
      </w:r>
      <w:r>
        <w:t xml:space="preserve"> </w:t>
      </w:r>
      <w:r>
        <w:rPr>
          <w:rStyle w:val="VerbatimChar"/>
        </w:rPr>
        <w:t xml:space="preserve">docx/</w:t>
      </w:r>
      <w:r>
        <w:t xml:space="preserve"> </w:t>
      </w:r>
      <w:r>
        <w:t xml:space="preserve">(no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prefix):</w:t>
      </w:r>
      <w:r>
        <w:t xml:space="preserve"> </w:t>
      </w:r>
      <w:r>
        <w:rPr>
          <w:rStyle w:val="VerbatimChar"/>
        </w:rPr>
        <w:t xml:space="preserve">docs/Automation/foo.md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docx/Automation/foo.docx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Root docs (</w:t>
      </w:r>
      <w:r>
        <w:rPr>
          <w:rStyle w:val="VerbatimChar"/>
        </w:rPr>
        <w:t xml:space="preserve">README.md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recent-changes.md</w:t>
      </w:r>
      <w:r>
        <w:t xml:space="preserve">, …) land at</w:t>
      </w:r>
      <w:r>
        <w:t xml:space="preserve"> </w:t>
      </w:r>
      <w:r>
        <w:rPr>
          <w:rStyle w:val="VerbatimChar"/>
        </w:rPr>
        <w:t xml:space="preserve">docx/&lt;name&gt;.docx</w:t>
      </w:r>
      <w:r>
        <w:t xml:space="preserve">.</w:t>
      </w:r>
      <w:r>
        <w:t xml:space="preserve"> </w:t>
      </w:r>
      <w:r>
        <w:rPr>
          <w:rStyle w:val="VerbatimChar"/>
        </w:rPr>
        <w:t xml:space="preserve">wip/SSO.md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docx/wip/SSO.docx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docx/</w:t>
      </w:r>
      <w:r>
        <w:t xml:space="preserve"> </w:t>
      </w:r>
      <w:r>
        <w:t xml:space="preserve">is not in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; commit the regenerated set when the changelog/docs change.</w:t>
      </w:r>
    </w:p>
    <w:bookmarkEnd w:id="16"/>
    <w:bookmarkStart w:id="17" w:name="sec14"/>
    <w:p>
      <w:pPr>
        <w:pStyle w:val="Heading2"/>
      </w:pPr>
      <w:r>
        <w:t xml:space="preserve">Sorting discipline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Order by date, not by number.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## Table of Contents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## Summary of changes</w:t>
      </w:r>
      <w:r>
        <w:t xml:space="preserve"> </w:t>
      </w:r>
      <w:r>
        <w:t xml:space="preserve">table, and the</w:t>
      </w:r>
      <w:r>
        <w:t xml:space="preserve"> </w:t>
      </w:r>
      <w:r>
        <w:rPr>
          <w:rStyle w:val="VerbatimChar"/>
        </w:rPr>
        <w:t xml:space="preserve">## Change details</w:t>
      </w:r>
      <w:r>
        <w:t xml:space="preserve"> </w:t>
      </w:r>
      <w:r>
        <w:t xml:space="preserve">body must all be sorted newest-first by the</w:t>
      </w:r>
      <w:r>
        <w:t xml:space="preserve"> </w:t>
      </w:r>
      <w:r>
        <w:rPr>
          <w:rStyle w:val="VerbatimChar"/>
        </w:rPr>
        <w:t xml:space="preserve">| 2026-… |</w:t>
      </w:r>
      <w:r>
        <w:t xml:space="preserve"> </w:t>
      </w:r>
      <w:r>
        <w:t xml:space="preserve">date.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Contiguous numbers</w:t>
      </w:r>
      <w:r>
        <w:t xml:space="preserve"> </w:t>
      </w:r>
      <w:r>
        <w:t xml:space="preserve">follow that order: after sorting, numbers read</w:t>
      </w:r>
      <w:r>
        <w:t xml:space="preserve"> </w:t>
      </w:r>
      <w:r>
        <w:rPr>
          <w:rStyle w:val="VerbatimChar"/>
        </w:rPr>
        <w:t xml:space="preserve">32, 31, 30, …, 2, 1</w:t>
      </w:r>
      <w:r>
        <w:t xml:space="preserve"> </w:t>
      </w:r>
      <w:r>
        <w:t xml:space="preserve">top-to-bottom. If they don’t, renumber.</w:t>
      </w:r>
    </w:p>
    <w:p>
      <w:pPr>
        <w:pStyle w:val="Compact"/>
        <w:numPr>
          <w:ilvl w:val="0"/>
          <w:numId w:val="1011"/>
        </w:numPr>
      </w:pPr>
      <w:r>
        <w:t xml:space="preserve">If you can’t run</w:t>
      </w:r>
      <w:r>
        <w:t xml:space="preserve"> </w:t>
      </w:r>
      <w:r>
        <w:rPr>
          <w:rStyle w:val="VerbatimChar"/>
        </w:rPr>
        <w:t xml:space="preserve">make word-docs</w:t>
      </w:r>
      <w:r>
        <w:t xml:space="preserve"> </w:t>
      </w:r>
      <w:r>
        <w:t xml:space="preserve">(pandoc not installed), the source of truth is</w:t>
      </w:r>
      <w:r>
        <w:t xml:space="preserve"> </w:t>
      </w:r>
      <w:r>
        <w:rPr>
          <w:rStyle w:val="VerbatimChar"/>
        </w:rPr>
        <w:t xml:space="preserve">wip/SSO.md</w:t>
      </w:r>
      <w:r>
        <w:t xml:space="preserve"> </w:t>
      </w:r>
      <w:r>
        <w:t xml:space="preserve">+ the</w:t>
      </w:r>
      <w:r>
        <w:t xml:space="preserve"> </w:t>
      </w:r>
      <w:r>
        <w:rPr>
          <w:rStyle w:val="VerbatimChar"/>
        </w:rPr>
        <w:t xml:space="preserve">&lt;a id&gt;</w:t>
      </w:r>
      <w:r>
        <w:t xml:space="preserve">/</w:t>
      </w:r>
      <w:r>
        <w:rPr>
          <w:rStyle w:val="VerbatimChar"/>
        </w:rPr>
        <w:t xml:space="preserve">&lt;a name&gt;</w:t>
      </w:r>
      <w:r>
        <w:t xml:space="preserve"> </w:t>
      </w:r>
      <w:r>
        <w:t xml:space="preserve">scheme above; the DOCX is regenerated from that.</w:t>
      </w:r>
    </w:p>
    <w:bookmarkEnd w:id="17"/>
    <w:bookmarkEnd w:id="18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2026-09-03T19:07:21Z</dcterms:created>
  <dcterms:modified xsi:type="dcterms:W3CDTF">2026-09-03T19:07:21Z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