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Update-GitLabCoverageBlock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Columns: Run | Date/Time | Coverage % | Threshold | Enforcement | Notes. Records the code-coverage figure measured by the pipeline’s test-unit job (Cobertura) per pipeline run, so coverage drift over time is visible in the same evidence document as the security findings.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Refresh the last GitLab pipeline coverage row</w:t>
      </w:r>
      <w:r>
        <w:rPr>
          <w:rStyle w:val="StringTok"/>
        </w:rPr>
        <w:t xml:space="preserve">'s date and optionally append a new row.</w:t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Columns: Run | Date/Time | Coverage % | Threshold | Enforcement |</w:t>
      </w:r>
      <w:r>
        <w:br/>
      </w:r>
      <w:r>
        <w:rPr>
          <w:rStyle w:val="StringTok"/>
        </w:rPr>
        <w:t xml:space="preserve">        Notes. Records the code-coverage figure measured by the pipeline'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test-unit job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Cobertura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per pipeline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coverage drift over time</w:t>
      </w:r>
      <w:r>
        <w:br/>
      </w:r>
      <w:r>
        <w:rPr>
          <w:rStyle w:val="NormalTok"/>
        </w:rPr>
        <w:t xml:space="preserve">        is visible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same evidence document as the security findings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