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vertto-friendlylabel-sec1"/>
    <w:p>
      <w:pPr>
        <w:pStyle w:val="Heading1"/>
      </w:pPr>
      <w:r>
        <w:t xml:space="preserve">_ConvertTo-FriendlyLabel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Turns a code key (e.g. DnsResolved, OneViewHost) into a friendly label (</w:t>
      </w:r>
      <w:r>
        <w:t xml:space="preserve">“DNS Resolved”</w:t>
      </w:r>
      <w:r>
        <w:t xml:space="preserve">,</w:t>
      </w:r>
      <w:r>
        <w:t xml:space="preserve"> </w:t>
      </w:r>
      <w:r>
        <w:t xml:space="preserve">“One View Host”</w:t>
      </w:r>
      <w:r>
        <w:t xml:space="preserve">) for human-readable output.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Turns a code 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DnsResolved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into a friendly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"DNS Resolved"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View Host"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human-readable output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./src/powershell/Automation/Private/OutputFormatter.ps1</vt:lpwstr>
  </property>
</Properties>
</file>