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tablefromobjects-sec1"/>
    <w:p>
      <w:pPr>
        <w:pStyle w:val="Heading1"/>
      </w:pPr>
      <w:r>
        <w:t xml:space="preserve">_Format-TableFromObjects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an array of flat objects as a plain-text, log-friendly 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an array of flat objects as a plain-text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log-friendly 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