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convertto-friendlylabel-sec1"/>
    <w:p>
      <w:pPr>
        <w:pStyle w:val="Heading1"/>
      </w:pPr>
      <w:r>
        <w:t xml:space="preserve">_ConvertTo-FriendlyLabel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Turns a code key (e.g. DnsResolved, OneViewHost) into a friendly label (</w:t>
      </w:r>
      <w:r>
        <w:t xml:space="preserve">“DNS Resolved”</w:t>
      </w:r>
      <w:r>
        <w:t xml:space="preserve">,</w:t>
      </w:r>
      <w:r>
        <w:t xml:space="preserve"> </w:t>
      </w:r>
      <w:r>
        <w:t xml:space="preserve">“One View Host”</w:t>
      </w:r>
      <w:r>
        <w:t xml:space="preserve">) for human-readable output.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Turns a code 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DnsResolved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OneViewHost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into a friendly</w:t>
      </w:r>
      <w:r>
        <w:br/>
      </w:r>
      <w:r>
        <w:rPr>
          <w:rStyle w:val="NormalTok"/>
        </w:rPr>
        <w:t xml:space="preserve">        label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"DNS Resolved"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View Host"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human-readable output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2026-09-03T19:07:19Z</dcterms:created>
  <dcterms:modified xsi:type="dcterms:W3CDTF">2026-09-03T19:07:19Z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./src/powershell/Automation/Private/OutputFormatter.ps1</vt:lpwstr>
  </property>
</Properties>
</file>