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sec1"/>
    <w:p>
      <w:pPr>
        <w:pStyle w:val="Heading1"/>
      </w:pPr>
      <w:r>
        <w:t xml:space="preserve">Single Sign-On (SSO) Architecture</w:t>
      </w:r>
    </w:p>
    <w:bookmarkStart w:id="9" w:name="sec2"/>
    <w:p>
      <w:pPr>
        <w:pStyle w:val="Heading2"/>
      </w:pPr>
      <w:r>
        <w:t xml:space="preserve">Table of Contents</w:t>
      </w:r>
    </w:p>
    <w:p>
      <w:pPr>
        <w:pStyle w:val="Compact"/>
        <w:numPr>
          <w:ilvl w:val="0"/>
          <w:numId w:val="1001"/>
        </w:numPr>
      </w:pPr>
      <w:hyperlink w:anchor="sec3">
        <w:r>
          <w:rPr>
            <w:rStyle w:val="Hyperlink"/>
          </w:rPr>
          <w:t xml:space="preserve">Executive Summary (for Leadership)</w:t>
        </w:r>
      </w:hyperlink>
    </w:p>
    <w:p>
      <w:pPr>
        <w:pStyle w:val="Compact"/>
        <w:numPr>
          <w:ilvl w:val="0"/>
          <w:numId w:val="1001"/>
        </w:numPr>
      </w:pPr>
      <w:hyperlink w:anchor="sec4">
        <w:r>
          <w:rPr>
            <w:rStyle w:val="Hyperlink"/>
          </w:rPr>
          <w:t xml:space="preserve">Technical Summary (for Engineering Management)</w:t>
        </w:r>
      </w:hyperlink>
    </w:p>
    <w:p>
      <w:pPr>
        <w:pStyle w:val="Compact"/>
        <w:numPr>
          <w:ilvl w:val="0"/>
          <w:numId w:val="1001"/>
        </w:numPr>
      </w:pPr>
      <w:hyperlink w:anchor="sec5">
        <w:r>
          <w:rPr>
            <w:rStyle w:val="Hyperlink"/>
          </w:rPr>
          <w:t xml:space="preserve">Overview</w:t>
        </w:r>
      </w:hyperlink>
    </w:p>
    <w:p>
      <w:pPr>
        <w:pStyle w:val="Compact"/>
        <w:numPr>
          <w:ilvl w:val="0"/>
          <w:numId w:val="1001"/>
        </w:numPr>
      </w:pPr>
      <w:hyperlink w:anchor="sec6">
        <w:r>
          <w:rPr>
            <w:rStyle w:val="Hyperlink"/>
          </w:rPr>
          <w:t xml:space="preserve">1. Identity Infrastructure Layer (Windows Networks &amp; Active Directory)</w:t>
        </w:r>
      </w:hyperlink>
    </w:p>
    <w:p>
      <w:pPr>
        <w:pStyle w:val="Compact"/>
        <w:numPr>
          <w:ilvl w:val="1"/>
          <w:numId w:val="1002"/>
        </w:numPr>
      </w:pPr>
      <w:hyperlink w:anchor="sec7">
        <w:r>
          <w:rPr>
            <w:rStyle w:val="Hyperlink"/>
          </w:rPr>
          <w:t xml:space="preserve">1.1 Hybrid AD DS ↔ Entra ID Topology (the sync bridge)</w:t>
        </w:r>
      </w:hyperlink>
    </w:p>
    <w:p>
      <w:pPr>
        <w:pStyle w:val="Compact"/>
        <w:numPr>
          <w:ilvl w:val="0"/>
          <w:numId w:val="1001"/>
        </w:numPr>
      </w:pPr>
      <w:hyperlink w:anchor="sec8">
        <w:r>
          <w:rPr>
            <w:rStyle w:val="Hyperlink"/>
          </w:rPr>
          <w:t xml:space="preserve">2. Bare-Metal Management Layer (iLO &amp; Redfish)</w:t>
        </w:r>
      </w:hyperlink>
    </w:p>
    <w:p>
      <w:pPr>
        <w:pStyle w:val="Compact"/>
        <w:numPr>
          <w:ilvl w:val="0"/>
          <w:numId w:val="1001"/>
        </w:numPr>
      </w:pPr>
      <w:hyperlink w:anchor="sec9">
        <w:r>
          <w:rPr>
            <w:rStyle w:val="Hyperlink"/>
          </w:rPr>
          <w:t xml:space="preserve">3. Out-of-Band Network Access (ZPE Nodegrid)</w:t>
        </w:r>
      </w:hyperlink>
    </w:p>
    <w:p>
      <w:pPr>
        <w:pStyle w:val="Compact"/>
        <w:numPr>
          <w:ilvl w:val="0"/>
          <w:numId w:val="1001"/>
        </w:numPr>
      </w:pPr>
      <w:hyperlink w:anchor="sec10">
        <w:r>
          <w:rPr>
            <w:rStyle w:val="Hyperlink"/>
          </w:rPr>
          <w:t xml:space="preserve">4. Management &amp; Orchestration Layer (HPE OneView &amp; MCM)</w:t>
        </w:r>
      </w:hyperlink>
    </w:p>
    <w:p>
      <w:pPr>
        <w:pStyle w:val="Compact"/>
        <w:numPr>
          <w:ilvl w:val="0"/>
          <w:numId w:val="1001"/>
        </w:numPr>
      </w:pPr>
      <w:hyperlink w:anchor="sec11">
        <w:r>
          <w:rPr>
            <w:rStyle w:val="Hyperlink"/>
          </w:rPr>
          <w:t xml:space="preserve">5. Monitoring &amp; Alerting Layer (Microsoft SCOM)</w:t>
        </w:r>
      </w:hyperlink>
    </w:p>
    <w:p>
      <w:pPr>
        <w:pStyle w:val="Compact"/>
        <w:numPr>
          <w:ilvl w:val="0"/>
          <w:numId w:val="1001"/>
        </w:numPr>
      </w:pPr>
      <w:hyperlink w:anchor="sec12">
        <w:r>
          <w:rPr>
            <w:rStyle w:val="Hyperlink"/>
          </w:rPr>
          <w:t xml:space="preserve">6. iLO Trust-by-Certificate — Configuration Steps</w:t>
        </w:r>
      </w:hyperlink>
    </w:p>
    <w:p>
      <w:pPr>
        <w:pStyle w:val="Compact"/>
        <w:numPr>
          <w:ilvl w:val="1"/>
          <w:numId w:val="1003"/>
        </w:numPr>
      </w:pPr>
      <w:hyperlink w:anchor="sec13">
        <w:r>
          <w:rPr>
            <w:rStyle w:val="Hyperlink"/>
          </w:rPr>
          <w:t xml:space="preserve">6.1 Prerequisites</w:t>
        </w:r>
      </w:hyperlink>
    </w:p>
    <w:p>
      <w:pPr>
        <w:pStyle w:val="Compact"/>
        <w:numPr>
          <w:ilvl w:val="1"/>
          <w:numId w:val="1003"/>
        </w:numPr>
      </w:pPr>
      <w:hyperlink w:anchor="sec14">
        <w:r>
          <w:rPr>
            <w:rStyle w:val="Hyperlink"/>
          </w:rPr>
          <w:t xml:space="preserve">6.2 Step 1 — Generate a Certificate Signing Request (CSR) from iLO</w:t>
        </w:r>
      </w:hyperlink>
    </w:p>
    <w:p>
      <w:pPr>
        <w:pStyle w:val="Compact"/>
        <w:numPr>
          <w:ilvl w:val="1"/>
          <w:numId w:val="1003"/>
        </w:numPr>
      </w:pPr>
      <w:hyperlink w:anchor="sec15">
        <w:r>
          <w:rPr>
            <w:rStyle w:val="Hyperlink"/>
          </w:rPr>
          <w:t xml:space="preserve">6.3 Step 2 — Issue the Certificate from the Enterprise CA</w:t>
        </w:r>
      </w:hyperlink>
    </w:p>
    <w:p>
      <w:pPr>
        <w:pStyle w:val="Compact"/>
        <w:numPr>
          <w:ilvl w:val="1"/>
          <w:numId w:val="1003"/>
        </w:numPr>
      </w:pPr>
      <w:hyperlink w:anchor="sec16">
        <w:r>
          <w:rPr>
            <w:rStyle w:val="Hyperlink"/>
          </w:rPr>
          <w:t xml:space="preserve">6.4 Step 3 — Install the Certificate on iLO (Trust by Certificate)</w:t>
        </w:r>
      </w:hyperlink>
    </w:p>
    <w:p>
      <w:pPr>
        <w:pStyle w:val="Compact"/>
        <w:numPr>
          <w:ilvl w:val="1"/>
          <w:numId w:val="1003"/>
        </w:numPr>
      </w:pPr>
      <w:hyperlink w:anchor="sec17">
        <w:r>
          <w:rPr>
            <w:rStyle w:val="Hyperlink"/>
          </w:rPr>
          <w:t xml:space="preserve">6.5 Step 4 — Configure the LDAP/AD Directory Integration</w:t>
        </w:r>
      </w:hyperlink>
    </w:p>
    <w:p>
      <w:pPr>
        <w:pStyle w:val="Compact"/>
        <w:numPr>
          <w:ilvl w:val="1"/>
          <w:numId w:val="1003"/>
        </w:numPr>
      </w:pPr>
      <w:hyperlink w:anchor="sec18">
        <w:r>
          <w:rPr>
            <w:rStyle w:val="Hyperlink"/>
          </w:rPr>
          <w:t xml:space="preserve">6.6 Step 5 — Map AD Groups to iLO Roles (Trust-by-Certificate Group Mapping)</w:t>
        </w:r>
      </w:hyperlink>
    </w:p>
    <w:p>
      <w:pPr>
        <w:pStyle w:val="Compact"/>
        <w:numPr>
          <w:ilvl w:val="1"/>
          <w:numId w:val="1003"/>
        </w:numPr>
      </w:pPr>
      <w:hyperlink w:anchor="sec19">
        <w:r>
          <w:rPr>
            <w:rStyle w:val="Hyperlink"/>
          </w:rPr>
          <w:t xml:space="preserve">6.7 Step 6 — OneView Brokered SSO (optional, for Gen10+/Synergy)</w:t>
        </w:r>
      </w:hyperlink>
    </w:p>
    <w:p>
      <w:pPr>
        <w:pStyle w:val="Compact"/>
        <w:numPr>
          <w:ilvl w:val="1"/>
          <w:numId w:val="1003"/>
        </w:numPr>
      </w:pPr>
      <w:hyperlink w:anchor="sec20">
        <w:r>
          <w:rPr>
            <w:rStyle w:val="Hyperlink"/>
          </w:rPr>
          <w:t xml:space="preserve">6.8 Verification</w:t>
        </w:r>
      </w:hyperlink>
    </w:p>
    <w:p>
      <w:pPr>
        <w:pStyle w:val="Compact"/>
        <w:numPr>
          <w:ilvl w:val="0"/>
          <w:numId w:val="1001"/>
        </w:numPr>
      </w:pPr>
      <w:hyperlink w:anchor="sec21">
        <w:r>
          <w:rPr>
            <w:rStyle w:val="Hyperlink"/>
          </w:rPr>
          <w:t xml:space="preserve">7. ZPE Nodegrid — Azure AD SAML Claim Mapping (Step-by-Step)</w:t>
        </w:r>
      </w:hyperlink>
    </w:p>
    <w:p>
      <w:pPr>
        <w:pStyle w:val="Compact"/>
        <w:numPr>
          <w:ilvl w:val="1"/>
          <w:numId w:val="1004"/>
        </w:numPr>
      </w:pPr>
      <w:hyperlink w:anchor="sec22">
        <w:r>
          <w:rPr>
            <w:rStyle w:val="Hyperlink"/>
          </w:rPr>
          <w:t xml:space="preserve">7.1 Part A — Define Azure AD Side (Enterprise Application + Claims)</w:t>
        </w:r>
      </w:hyperlink>
    </w:p>
    <w:p>
      <w:pPr>
        <w:pStyle w:val="Compact"/>
        <w:numPr>
          <w:ilvl w:val="1"/>
          <w:numId w:val="1004"/>
        </w:numPr>
      </w:pPr>
      <w:hyperlink w:anchor="sec23">
        <w:r>
          <w:rPr>
            <w:rStyle w:val="Hyperlink"/>
          </w:rPr>
          <w:t xml:space="preserve">7.2 Part B — Define Nodegrid Side (Service Provider)</w:t>
        </w:r>
      </w:hyperlink>
    </w:p>
    <w:p>
      <w:pPr>
        <w:pStyle w:val="Compact"/>
        <w:numPr>
          <w:ilvl w:val="1"/>
          <w:numId w:val="1004"/>
        </w:numPr>
      </w:pPr>
      <w:hyperlink w:anchor="sec24">
        <w:r>
          <w:rPr>
            <w:rStyle w:val="Hyperlink"/>
          </w:rPr>
          <w:t xml:space="preserve">7.3 Verification</w:t>
        </w:r>
      </w:hyperlink>
    </w:p>
    <w:p>
      <w:pPr>
        <w:pStyle w:val="Compact"/>
        <w:numPr>
          <w:ilvl w:val="0"/>
          <w:numId w:val="1001"/>
        </w:numPr>
      </w:pPr>
      <w:hyperlink w:anchor="sec25">
        <w:r>
          <w:rPr>
            <w:rStyle w:val="Hyperlink"/>
          </w:rPr>
          <w:t xml:space="preserve">8. Windows Interactive &amp; RDP SSO — Preventing Account Lockouts</w:t>
        </w:r>
      </w:hyperlink>
    </w:p>
    <w:p>
      <w:pPr>
        <w:pStyle w:val="Compact"/>
        <w:numPr>
          <w:ilvl w:val="1"/>
          <w:numId w:val="1005"/>
        </w:numPr>
      </w:pPr>
      <w:hyperlink w:anchor="sec26">
        <w:r>
          <w:rPr>
            <w:rStyle w:val="Hyperlink"/>
          </w:rPr>
          <w:t xml:space="preserve">8.1 Core principle: one credential, no per-server prompts</w:t>
        </w:r>
      </w:hyperlink>
    </w:p>
    <w:p>
      <w:pPr>
        <w:pStyle w:val="Compact"/>
        <w:numPr>
          <w:ilvl w:val="1"/>
          <w:numId w:val="1005"/>
        </w:numPr>
      </w:pPr>
      <w:hyperlink w:anchor="sec27">
        <w:r>
          <w:rPr>
            <w:rStyle w:val="Hyperlink"/>
          </w:rPr>
          <w:t xml:space="preserve">8.2 Domain Controller / AD-side controls (prevent lockout at source)</w:t>
        </w:r>
      </w:hyperlink>
    </w:p>
    <w:p>
      <w:pPr>
        <w:pStyle w:val="Compact"/>
        <w:numPr>
          <w:ilvl w:val="1"/>
          <w:numId w:val="1005"/>
        </w:numPr>
      </w:pPr>
      <w:hyperlink w:anchor="sec28">
        <w:r>
          <w:rPr>
            <w:rStyle w:val="Hyperlink"/>
          </w:rPr>
          <w:t xml:space="preserve">8.3 Step-by-step: Configure Windows workstation and servers</w:t>
        </w:r>
      </w:hyperlink>
    </w:p>
    <w:p>
      <w:pPr>
        <w:pStyle w:val="Compact"/>
        <w:numPr>
          <w:ilvl w:val="1"/>
          <w:numId w:val="1005"/>
        </w:numPr>
      </w:pPr>
      <w:hyperlink w:anchor="sec31">
        <w:r>
          <w:rPr>
            <w:rStyle w:val="Hyperlink"/>
          </w:rPr>
          <w:t xml:space="preserve">8.4 RDP launch pattern the engineers should use</w:t>
        </w:r>
      </w:hyperlink>
    </w:p>
    <w:p>
      <w:pPr>
        <w:pStyle w:val="Compact"/>
        <w:numPr>
          <w:ilvl w:val="1"/>
          <w:numId w:val="1005"/>
        </w:numPr>
      </w:pPr>
      <w:hyperlink w:anchor="sec32">
        <w:r>
          <w:rPr>
            <w:rStyle w:val="Hyperlink"/>
          </w:rPr>
          <w:t xml:space="preserve">8.5 MFA scoping (prevent MFA loops / re-authentication storms)</w:t>
        </w:r>
      </w:hyperlink>
    </w:p>
    <w:p>
      <w:pPr>
        <w:pStyle w:val="Compact"/>
        <w:numPr>
          <w:ilvl w:val="0"/>
          <w:numId w:val="1001"/>
        </w:numPr>
      </w:pPr>
      <w:hyperlink w:anchor="sec33">
        <w:r>
          <w:rPr>
            <w:rStyle w:val="Hyperlink"/>
          </w:rPr>
          <w:t xml:space="preserve">Core Security Architecture Matrix</w:t>
        </w:r>
      </w:hyperlink>
    </w:p>
    <w:p>
      <w:pPr>
        <w:pStyle w:val="Compact"/>
        <w:numPr>
          <w:ilvl w:val="0"/>
          <w:numId w:val="1001"/>
        </w:numPr>
      </w:pPr>
      <w:hyperlink w:anchor="sec34">
        <w:r>
          <w:rPr>
            <w:rStyle w:val="Hyperlink"/>
          </w:rPr>
          <w:t xml:space="preserve">References</w:t>
        </w:r>
      </w:hyperlink>
    </w:p>
    <w:bookmarkEnd w:id="9"/>
    <w:bookmarkStart w:id="10" w:name="sec3"/>
    <w:p>
      <w:pPr>
        <w:pStyle w:val="Heading2"/>
      </w:pPr>
      <w:r>
        <w:t xml:space="preserve">Executive Summary (for Leadership)</w:t>
      </w:r>
    </w:p>
    <w:p>
      <w:pPr>
        <w:pStyle w:val="Compact"/>
        <w:numPr>
          <w:ilvl w:val="0"/>
          <w:numId w:val="1006"/>
        </w:numPr>
      </w:pPr>
      <w:r>
        <w:rPr>
          <w:b/>
          <w:bCs/>
        </w:rPr>
        <w:t xml:space="preserve">The problem today</w:t>
      </w:r>
      <w:r>
        <w:t xml:space="preserve">: engineers authenticate interactively to 50+ servers per day, causing frequent AD account lockouts and slow, ticket-bound (BMC iRequest) unlock cycles that cost engineering hours and delay incident response.</w:t>
      </w:r>
    </w:p>
    <w:p>
      <w:pPr>
        <w:pStyle w:val="Compact"/>
        <w:numPr>
          <w:ilvl w:val="0"/>
          <w:numId w:val="1006"/>
        </w:numPr>
      </w:pPr>
      <w:r>
        <w:rPr>
          <w:b/>
          <w:bCs/>
        </w:rPr>
        <w:t xml:space="preserve">The fix</w:t>
      </w:r>
      <w:r>
        <w:t xml:space="preserve">: a single identity per engineer, issued once per session, reused silently across every system — Windows servers, iLO, consoles, and monitoring — eliminating per-server passwords and the lockouts they cause.</w:t>
      </w:r>
    </w:p>
    <w:p>
      <w:pPr>
        <w:pStyle w:val="Compact"/>
        <w:numPr>
          <w:ilvl w:val="0"/>
          <w:numId w:val="1006"/>
        </w:numPr>
      </w:pPr>
      <w:r>
        <w:rPr>
          <w:b/>
          <w:bCs/>
        </w:rPr>
        <w:t xml:space="preserve">Compliance strengthened, not weakened</w:t>
      </w:r>
      <w:r>
        <w:t xml:space="preserve">: MFA and Conditional Access are enforced once at the entry point, satisfying DORA, GDPR, and PSD2/3 Strong Customer Authentication, with every access centrally attributable for audit.</w:t>
      </w:r>
    </w:p>
    <w:p>
      <w:pPr>
        <w:pStyle w:val="Compact"/>
        <w:numPr>
          <w:ilvl w:val="0"/>
          <w:numId w:val="1006"/>
        </w:numPr>
      </w:pPr>
      <w:r>
        <w:rPr>
          <w:b/>
          <w:bCs/>
        </w:rPr>
        <w:t xml:space="preserve">Reuses existing investment</w:t>
      </w:r>
      <w:r>
        <w:t xml:space="preserve">: built on the bank’s current AD DS / Microsoft Entra ID estate, enterprise PKI, and existing HPE/ZPE/Microsoft tooling — no new identity platform required.</w:t>
      </w:r>
    </w:p>
    <w:p>
      <w:pPr>
        <w:pStyle w:val="Compact"/>
        <w:numPr>
          <w:ilvl w:val="0"/>
          <w:numId w:val="1006"/>
        </w:numPr>
      </w:pPr>
      <w:r>
        <w:rPr>
          <w:b/>
          <w:bCs/>
        </w:rPr>
        <w:t xml:space="preserve">Outcome</w:t>
      </w:r>
      <w:r>
        <w:t xml:space="preserve">: one sign-on per day instead of 50+, near-zero lockout tickets, faster outage response, and a defensible audit trail.</w:t>
      </w:r>
    </w:p>
    <w:bookmarkEnd w:id="10"/>
    <w:bookmarkStart w:id="11" w:name="sec4"/>
    <w:p>
      <w:pPr>
        <w:pStyle w:val="Heading2"/>
      </w:pPr>
      <w:r>
        <w:t xml:space="preserve">Technical Summary (for Engineering Management)</w:t>
      </w:r>
    </w:p>
    <w:p>
      <w:pPr>
        <w:pStyle w:val="Compact"/>
        <w:numPr>
          <w:ilvl w:val="0"/>
          <w:numId w:val="1007"/>
        </w:numPr>
      </w:pPr>
      <w:r>
        <w:rPr>
          <w:b/>
          <w:bCs/>
        </w:rPr>
        <w:t xml:space="preserve">Identity plane</w:t>
      </w:r>
      <w:r>
        <w:t xml:space="preserve">: on-prem AD DS is bridged to Microsoft Entra ID via Entra Connect (PHS + PTA); hybrid-joined workstations issue a Kerberos TGT and Entra PRT from a single logon (Section 1.1).</w:t>
      </w:r>
    </w:p>
    <w:p>
      <w:pPr>
        <w:pStyle w:val="Compact"/>
        <w:numPr>
          <w:ilvl w:val="0"/>
          <w:numId w:val="1007"/>
        </w:numPr>
      </w:pPr>
      <w:r>
        <w:rPr>
          <w:b/>
          <w:bCs/>
        </w:rPr>
        <w:t xml:space="preserve">Per-layer SSO</w:t>
      </w:r>
      <w:r>
        <w:t xml:space="preserve">: RDP/WinRM reuse the TGT via Restricted Admin + constrained delegation (Section 8); web/console access uses SAML 2.0 from Entra ID with claim-to-group mapping on ZPE Nodegrid (Section 7); bare-metal access uses iLO Trust-by-Certificate with AD group-to-role mapping over LDAPS (Section 6).</w:t>
      </w:r>
    </w:p>
    <w:p>
      <w:pPr>
        <w:pStyle w:val="Compact"/>
        <w:numPr>
          <w:ilvl w:val="0"/>
          <w:numId w:val="1007"/>
        </w:numPr>
      </w:pPr>
      <w:r>
        <w:rPr>
          <w:b/>
          <w:bCs/>
        </w:rPr>
        <w:t xml:space="preserve">MFA placement</w:t>
      </w:r>
      <w:r>
        <w:t xml:space="preserve">: enforced exactly once (workstation logon / Nodegrid SAML); never re-prompted mid-session — this is what removes the lockout trigger while preserving SCA.</w:t>
      </w:r>
    </w:p>
    <w:p>
      <w:pPr>
        <w:pStyle w:val="Compact"/>
        <w:numPr>
          <w:ilvl w:val="0"/>
          <w:numId w:val="1007"/>
        </w:numPr>
      </w:pPr>
      <w:r>
        <w:rPr>
          <w:b/>
          <w:bCs/>
        </w:rPr>
        <w:t xml:space="preserve">Access model</w:t>
      </w:r>
      <w:r>
        <w:t xml:space="preserve">: Tier-0/1/2 AD security groups map to iLO roles, Nodegrid groups, OneView roles, and local Remote Desktop Users — one group change grants/revokes estate-wide.</w:t>
      </w:r>
    </w:p>
    <w:p>
      <w:pPr>
        <w:pStyle w:val="Compact"/>
        <w:numPr>
          <w:ilvl w:val="0"/>
          <w:numId w:val="1007"/>
        </w:numPr>
      </w:pPr>
      <w:r>
        <w:rPr>
          <w:b/>
          <w:bCs/>
        </w:rPr>
        <w:t xml:space="preserve">Sections 6–8 contain the actionable step-by-step configurations</w:t>
      </w:r>
      <w:r>
        <w:t xml:space="preserve"> </w:t>
      </w:r>
      <w:r>
        <w:t xml:space="preserve">(iLO cert enrolment, Nodegrid SAML claims, RDP GPOs); Sections 1–5 describe the architecture they implement.</w:t>
      </w:r>
    </w:p>
    <w:bookmarkEnd w:id="11"/>
    <w:bookmarkStart w:id="12" w:name="sec5"/>
    <w:p>
      <w:pPr>
        <w:pStyle w:val="Heading2"/>
      </w:pPr>
      <w:r>
        <w:t xml:space="preserve">Overview</w:t>
      </w:r>
    </w:p>
    <w:p>
      <w:pPr>
        <w:pStyle w:val="Compact"/>
        <w:numPr>
          <w:ilvl w:val="0"/>
          <w:numId w:val="1008"/>
        </w:numPr>
      </w:pPr>
      <w:r>
        <w:t xml:space="preserve">Implementing Single Sign-On (SSO) in a highly regulated EU banking environment</w:t>
      </w:r>
    </w:p>
    <w:p>
      <w:pPr>
        <w:pStyle w:val="Compact"/>
        <w:numPr>
          <w:ilvl w:val="0"/>
          <w:numId w:val="1008"/>
        </w:numPr>
      </w:pPr>
      <w:r>
        <w:t xml:space="preserve">subject to strict compliance frameworks - DORA, GDPR, and PSD2/3 Strong Customer Authentication</w:t>
      </w:r>
    </w:p>
    <w:p>
      <w:pPr>
        <w:pStyle w:val="Compact"/>
        <w:numPr>
          <w:ilvl w:val="0"/>
          <w:numId w:val="1008"/>
        </w:numPr>
      </w:pPr>
      <w:r>
        <w:t xml:space="preserve">involves unifying modern web-based identity management with legacy datacentre infrastructure.</w:t>
      </w:r>
    </w:p>
    <w:p>
      <w:pPr>
        <w:pStyle w:val="Compact"/>
        <w:numPr>
          <w:ilvl w:val="0"/>
          <w:numId w:val="1008"/>
        </w:numPr>
      </w:pPr>
      <w:r>
        <w:t xml:space="preserve">In a Windows network hosting HPE ProLiant infrastructure,</w:t>
      </w:r>
    </w:p>
    <w:p>
      <w:pPr>
        <w:pStyle w:val="Compact"/>
        <w:numPr>
          <w:ilvl w:val="0"/>
          <w:numId w:val="1008"/>
        </w:numPr>
      </w:pPr>
      <w:r>
        <w:t xml:space="preserve">this is achieved by mapping Active Directory (AD) / Azure AD (Entra ID) identities to different</w:t>
      </w:r>
    </w:p>
    <w:p>
      <w:pPr>
        <w:pStyle w:val="Compact"/>
        <w:numPr>
          <w:ilvl w:val="1"/>
          <w:numId w:val="1009"/>
        </w:numPr>
      </w:pPr>
      <w:r>
        <w:t xml:space="preserve">hardware, management, and monitoring tiers</w:t>
      </w:r>
    </w:p>
    <w:p>
      <w:pPr>
        <w:pStyle w:val="Compact"/>
        <w:numPr>
          <w:ilvl w:val="1"/>
          <w:numId w:val="1009"/>
        </w:numPr>
      </w:pPr>
      <w:r>
        <w:t xml:space="preserve">using explicit trust boundaries.</w:t>
      </w:r>
      <w:r>
        <w:t xml:space="preserve"> </w:t>
      </w:r>
      <w:hyperlink w:anchor="ref-1">
        <w:r>
          <w:rPr>
            <w:rStyle w:val="Hyperlink"/>
          </w:rPr>
          <w:t xml:space="preserve">1</w:t>
        </w:r>
      </w:hyperlink>
    </w:p>
    <w:p>
      <w:pPr>
        <w:pStyle w:val="Compact"/>
        <w:numPr>
          <w:ilvl w:val="1"/>
          <w:numId w:val="1009"/>
        </w:numPr>
      </w:pPr>
      <w:r>
        <w:t xml:space="preserve">A complete architecture overview of how these distinct elements are bridged into a single identity control plane follows below.</w:t>
      </w:r>
    </w:p>
    <w:p>
      <w:r>
        <w:pict>
          <v:rect style="width:0;height:1.5pt" o:hralign="center" o:hrstd="t" o:hr="t"/>
        </w:pict>
      </w:r>
    </w:p>
    <w:bookmarkEnd w:id="12"/>
    <w:bookmarkStart w:id="14" w:name="sec6"/>
    <w:p>
      <w:pPr>
        <w:pStyle w:val="Heading2"/>
      </w:pPr>
      <w:r>
        <w:t xml:space="preserve">1. Identity Infrastructure Layer (Windows Networks &amp; Active Directory)</w:t>
      </w:r>
    </w:p>
    <w:p>
      <w:pPr>
        <w:pStyle w:val="FirstParagraph"/>
      </w:pPr>
      <w:r>
        <w:t xml:space="preserve">Central source of truth is Active Directory Domain Services (AD DS) combined with an identity provider (IdP) like Microsoft Entra ID / ADFS to enforce multi-factor authentication (MFA) and conditional access policies before granting an SSO token.</w:t>
      </w:r>
    </w:p>
    <w:p>
      <w:pPr>
        <w:pStyle w:val="Compact"/>
        <w:numPr>
          <w:ilvl w:val="0"/>
          <w:numId w:val="1010"/>
        </w:numPr>
      </w:pPr>
      <w:r>
        <w:t xml:space="preserve">All administrative identities belong to tiered AD security groups (e.g., Tier-0 for Domain Admins/Hardware controllers).</w:t>
      </w:r>
    </w:p>
    <w:p>
      <w:pPr>
        <w:pStyle w:val="Compact"/>
        <w:numPr>
          <w:ilvl w:val="0"/>
          <w:numId w:val="1010"/>
        </w:numPr>
      </w:pPr>
      <w:r>
        <w:t xml:space="preserve">Open standards are heavily enforced: SAML 2.0 / OIDC are used for web portals, while secure Kerberos or LDAP over TLS (LDAPS, Port 636) handles legacy backend authentications.</w:t>
      </w:r>
      <w:r>
        <w:t xml:space="preserve"> </w:t>
      </w:r>
      <w:hyperlink w:anchor="ref-2">
        <w:r>
          <w:rPr>
            <w:rStyle w:val="Hyperlink"/>
          </w:rPr>
          <w:t xml:space="preserve">2</w:t>
        </w:r>
      </w:hyperlink>
      <w:r>
        <w:t xml:space="preserve">,</w:t>
      </w:r>
      <w:r>
        <w:t xml:space="preserve"> </w:t>
      </w:r>
      <w:hyperlink w:anchor="ref-3">
        <w:r>
          <w:rPr>
            <w:rStyle w:val="Hyperlink"/>
          </w:rPr>
          <w:t xml:space="preserve">3</w:t>
        </w:r>
      </w:hyperlink>
    </w:p>
    <w:bookmarkStart w:id="13" w:name="sec7"/>
    <w:p>
      <w:pPr>
        <w:pStyle w:val="Heading3"/>
      </w:pPr>
      <w:r>
        <w:t xml:space="preserve">1.1 Hybrid AD DS ↔ Entra ID Topology (the sync bridge)</w:t>
      </w:r>
    </w:p>
    <w:p>
      <w:pPr>
        <w:pStyle w:val="FirstParagraph"/>
      </w:pPr>
      <w:r>
        <w:t xml:space="preserve">The whole SSO model rests on a single identity control plane: on-prem AD DS is bridged to Microsoft Entra ID so each engineer has</w:t>
      </w:r>
      <w:r>
        <w:t xml:space="preserve"> </w:t>
      </w:r>
      <w:r>
        <w:rPr>
          <w:b/>
          <w:bCs/>
        </w:rPr>
        <w:t xml:space="preserve">one identity</w:t>
      </w:r>
      <w:r>
        <w:t xml:space="preserve"> </w:t>
      </w:r>
      <w:r>
        <w:t xml:space="preserve">that exists in both worlds.</w:t>
      </w:r>
    </w:p>
    <w:p>
      <w:pPr>
        <w:pStyle w:val="Compact"/>
        <w:numPr>
          <w:ilvl w:val="0"/>
          <w:numId w:val="1011"/>
        </w:numPr>
      </w:pPr>
      <w:r>
        <w:rPr>
          <w:b/>
          <w:bCs/>
        </w:rPr>
        <w:t xml:space="preserve">Entra Connect sync</w:t>
      </w:r>
      <w:r>
        <w:t xml:space="preserve">: Microsoft Entra Connect (formerly Azure AD Connect) runs on-prem and synchronises users, groups, and password hashes to Entra ID.</w:t>
      </w:r>
    </w:p>
    <w:p>
      <w:pPr>
        <w:pStyle w:val="Compact"/>
        <w:numPr>
          <w:ilvl w:val="1"/>
          <w:numId w:val="1012"/>
        </w:numPr>
      </w:pPr>
      <w:r>
        <w:rPr>
          <w:b/>
          <w:bCs/>
        </w:rPr>
        <w:t xml:space="preserve">PHS (Password Hash Sync)</w:t>
      </w:r>
      <w:r>
        <w:t xml:space="preserve"> </w:t>
      </w:r>
      <w:r>
        <w:t xml:space="preserve">— enabled as baseline; permits cloud sign-in and acts as the fallback if on-prem auth is unavailable.</w:t>
      </w:r>
    </w:p>
    <w:p>
      <w:pPr>
        <w:pStyle w:val="Compact"/>
        <w:numPr>
          <w:ilvl w:val="1"/>
          <w:numId w:val="1012"/>
        </w:numPr>
      </w:pPr>
      <w:r>
        <w:rPr>
          <w:b/>
          <w:bCs/>
        </w:rPr>
        <w:t xml:space="preserve">PTA (Pass-through Authentication)</w:t>
      </w:r>
      <w:r>
        <w:t xml:space="preserve"> </w:t>
      </w:r>
      <w:r>
        <w:t xml:space="preserve">— validates passwords against the on-prem DC in real time (no password material stored in the cloud).</w:t>
      </w:r>
    </w:p>
    <w:p>
      <w:pPr>
        <w:pStyle w:val="Compact"/>
        <w:numPr>
          <w:ilvl w:val="1"/>
          <w:numId w:val="1012"/>
        </w:numPr>
      </w:pPr>
      <w:r>
        <w:rPr>
          <w:b/>
          <w:bCs/>
        </w:rPr>
        <w:t xml:space="preserve">ADFS</w:t>
      </w:r>
      <w:r>
        <w:t xml:space="preserve"> </w:t>
      </w:r>
      <w:r>
        <w:t xml:space="preserve">— legacy federation path, still present in large banking estates; being phased out toward PHS+PTA.</w:t>
      </w:r>
    </w:p>
    <w:p>
      <w:pPr>
        <w:pStyle w:val="Compact"/>
        <w:numPr>
          <w:ilvl w:val="0"/>
          <w:numId w:val="1011"/>
        </w:numPr>
      </w:pPr>
      <w:r>
        <w:rPr>
          <w:b/>
          <w:bCs/>
        </w:rPr>
        <w:t xml:space="preserve">Hybrid join</w:t>
      </w:r>
      <w:r>
        <w:t xml:space="preserve">: engineer workstations are hybrid-joined so a single logon issues</w:t>
      </w:r>
      <w:r>
        <w:t xml:space="preserve"> </w:t>
      </w:r>
      <w:r>
        <w:rPr>
          <w:b/>
          <w:bCs/>
        </w:rPr>
        <w:t xml:space="preserve">both</w:t>
      </w:r>
      <w:r>
        <w:t xml:space="preserve"> </w:t>
      </w:r>
      <w:r>
        <w:t xml:space="preserve">a Kerberos TGT (on-prem world: RDP, WinRM, iLO LDAPS) and an Entra ID Primary Refresh Token (cloud world: SAML/OIDC web apps, Nodegrid, Conditional Access).</w:t>
      </w:r>
    </w:p>
    <w:p>
      <w:pPr>
        <w:pStyle w:val="Compact"/>
        <w:numPr>
          <w:ilvl w:val="0"/>
          <w:numId w:val="1011"/>
        </w:numPr>
      </w:pPr>
      <w:r>
        <w:rPr>
          <w:b/>
          <w:bCs/>
        </w:rPr>
        <w:t xml:space="preserve">Result</w:t>
      </w:r>
      <w:r>
        <w:t xml:space="preserve">: AD group membership (Tier-0/1/2) flows everywhere — iLO roles, Nodegrid local groups, OneView roles, RDP Users — so one group change grants or revokes access across the entire estate.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Protocol</w:t>
            </w:r>
          </w:p>
        </w:tc>
        <w:tc>
          <w:tcPr/>
          <w:p>
            <w:pPr>
              <w:pStyle w:val="Compact"/>
            </w:pPr>
            <w:r>
              <w:t xml:space="preserve">How SSO happens</w:t>
            </w:r>
          </w:p>
        </w:tc>
      </w:tr>
      <w:tr>
        <w:tc>
          <w:tcPr/>
          <w:p>
            <w:pPr>
              <w:pStyle w:val="Compact"/>
            </w:pPr>
            <w:r>
              <w:t xml:space="preserve">Workstation / jump box</w:t>
            </w:r>
          </w:p>
        </w:tc>
        <w:tc>
          <w:tcPr/>
          <w:p>
            <w:pPr>
              <w:pStyle w:val="Compact"/>
            </w:pPr>
            <w:r>
              <w:t xml:space="preserve">Kerberos + hybrid Entra join</w:t>
            </w:r>
          </w:p>
        </w:tc>
        <w:tc>
          <w:tcPr/>
          <w:p>
            <w:pPr>
              <w:pStyle w:val="Compact"/>
            </w:pPr>
            <w:r>
              <w:t xml:space="preserve">One logon → Kerberos TGT + Entra PRT issued together</w:t>
            </w:r>
          </w:p>
        </w:tc>
      </w:tr>
      <w:tr>
        <w:tc>
          <w:tcPr/>
          <w:p>
            <w:pPr>
              <w:pStyle w:val="Compact"/>
            </w:pPr>
            <w:r>
              <w:t xml:space="preserve">RDP / WinRM / SMB to 50+ servers</w:t>
            </w:r>
          </w:p>
        </w:tc>
        <w:tc>
          <w:tcPr/>
          <w:p>
            <w:pPr>
              <w:pStyle w:val="Compact"/>
            </w:pPr>
            <w:r>
              <w:t xml:space="preserve">Kerberos</w:t>
            </w:r>
          </w:p>
        </w:tc>
        <w:tc>
          <w:tcPr/>
          <w:p>
            <w:pPr>
              <w:pStyle w:val="Compact"/>
            </w:pPr>
            <w:r>
              <w:t xml:space="preserve">TGT silently reused (Section 8 — Restricted Admin + delegation)</w:t>
            </w:r>
          </w:p>
        </w:tc>
      </w:tr>
      <w:tr>
        <w:tc>
          <w:tcPr/>
          <w:p>
            <w:pPr>
              <w:pStyle w:val="Compact"/>
            </w:pPr>
            <w:r>
              <w:t xml:space="preserve">Web apps / Nodegrid</w:t>
            </w:r>
          </w:p>
        </w:tc>
        <w:tc>
          <w:tcPr/>
          <w:p>
            <w:pPr>
              <w:pStyle w:val="Compact"/>
            </w:pPr>
            <w:r>
              <w:t xml:space="preserve">SAML 2.0 / OIDC</w:t>
            </w:r>
          </w:p>
        </w:tc>
        <w:tc>
          <w:tcPr/>
          <w:p>
            <w:pPr>
              <w:pStyle w:val="Compact"/>
            </w:pPr>
            <w:r>
              <w:t xml:space="preserve">Entra ID checks the PRT → SAML assertion, no re-prompt; MFA/CA enforced here (Section 7)</w:t>
            </w:r>
          </w:p>
        </w:tc>
      </w:tr>
      <w:tr>
        <w:tc>
          <w:tcPr/>
          <w:p>
            <w:pPr>
              <w:pStyle w:val="Compact"/>
            </w:pPr>
            <w:r>
              <w:t xml:space="preserve">iLO / Redfish</w:t>
            </w:r>
          </w:p>
        </w:tc>
        <w:tc>
          <w:tcPr/>
          <w:p>
            <w:pPr>
              <w:pStyle w:val="Compact"/>
            </w:pPr>
            <w:r>
              <w:t xml:space="preserve">LDAPS + Trust-by-Cert</w:t>
            </w:r>
          </w:p>
        </w:tc>
        <w:tc>
          <w:tcPr/>
          <w:p>
            <w:pPr>
              <w:pStyle w:val="Compact"/>
            </w:pPr>
            <w:r>
              <w:t xml:space="preserve">iLO binds LDAPS to AD DS, consumes group membership (Section 6)</w:t>
            </w:r>
          </w:p>
        </w:tc>
      </w:tr>
      <w:tr>
        <w:tc>
          <w:tcPr/>
          <w:p>
            <w:pPr>
              <w:pStyle w:val="Compact"/>
            </w:pPr>
            <w:r>
              <w:t xml:space="preserve">OneView / SCOM / MECM</w:t>
            </w:r>
          </w:p>
        </w:tc>
        <w:tc>
          <w:tcPr/>
          <w:p>
            <w:pPr>
              <w:pStyle w:val="Compact"/>
            </w:pPr>
            <w:r>
              <w:t xml:space="preserve">Kerberos / AD login domain</w:t>
            </w:r>
          </w:p>
        </w:tc>
        <w:tc>
          <w:tcPr/>
          <w:p>
            <w:pPr>
              <w:pStyle w:val="Compact"/>
            </w:pPr>
            <w:r>
              <w:t xml:space="preserve">Native Windows auth, group-to-role mapping</w:t>
            </w:r>
          </w:p>
        </w:tc>
      </w:tr>
    </w:tbl>
    <w:bookmarkEnd w:id="13"/>
    <w:bookmarkEnd w:id="14"/>
    <w:bookmarkStart w:id="15" w:name="sec8"/>
    <w:p>
      <w:pPr>
        <w:pStyle w:val="Heading2"/>
      </w:pPr>
      <w:r>
        <w:t xml:space="preserve">2. Bare-Metal Management Layer (iLO &amp; Redfish)</w:t>
      </w:r>
    </w:p>
    <w:p>
      <w:pPr>
        <w:pStyle w:val="FirstParagraph"/>
      </w:pPr>
      <w:r>
        <w:t xml:space="preserve">To prevent engineers from using shared local administrator accounts on HPE ProLiant servers, individual bare-metal access is tied back to AD.</w:t>
      </w:r>
      <w:r>
        <w:t xml:space="preserve"> </w:t>
      </w:r>
      <w:hyperlink w:anchor="ref-4">
        <w:r>
          <w:rPr>
            <w:rStyle w:val="Hyperlink"/>
          </w:rPr>
          <w:t xml:space="preserve">4</w:t>
        </w:r>
      </w:hyperlink>
    </w:p>
    <w:p>
      <w:pPr>
        <w:numPr>
          <w:ilvl w:val="0"/>
          <w:numId w:val="1013"/>
        </w:numPr>
      </w:pPr>
      <w:r>
        <w:t xml:space="preserve">HPE iLO (Integrated Lights-Out): iLO is configured using Trust by Certificate mode. The bank installs enterprise CA-signed certificates onto the iLO chips. In the HPE SSO settings, iLO is configured to trust assertions from the parent manager software (HPE OneView). Additionally, iLO directories map AD Security Groups natively to specific iLO roles (e.g., Admin, Remote Console, Read-Only) using LDAPS.</w:t>
      </w:r>
      <w:r>
        <w:t xml:space="preserve"> </w:t>
      </w:r>
      <w:hyperlink w:anchor="ref-3">
        <w:r>
          <w:rPr>
            <w:rStyle w:val="Hyperlink"/>
          </w:rPr>
          <w:t xml:space="preserve">3</w:t>
        </w:r>
      </w:hyperlink>
      <w:r>
        <w:t xml:space="preserve">,</w:t>
      </w:r>
      <w:r>
        <w:t xml:space="preserve"> </w:t>
      </w:r>
      <w:hyperlink w:anchor="ref-5">
        <w:r>
          <w:rPr>
            <w:rStyle w:val="Hyperlink"/>
          </w:rPr>
          <w:t xml:space="preserve">5</w:t>
        </w:r>
      </w:hyperlink>
      <w:r>
        <w:t xml:space="preserve">,</w:t>
      </w:r>
      <w:r>
        <w:t xml:space="preserve"> </w:t>
      </w:r>
      <w:hyperlink w:anchor="ref-6">
        <w:r>
          <w:rPr>
            <w:rStyle w:val="Hyperlink"/>
          </w:rPr>
          <w:t xml:space="preserve">6</w:t>
        </w:r>
      </w:hyperlink>
      <w:r>
        <w:t xml:space="preserve">,</w:t>
      </w:r>
      <w:r>
        <w:t xml:space="preserve"> </w:t>
      </w:r>
      <w:hyperlink w:anchor="ref-7">
        <w:r>
          <w:rPr>
            <w:rStyle w:val="Hyperlink"/>
          </w:rPr>
          <w:t xml:space="preserve">7</w:t>
        </w:r>
      </w:hyperlink>
    </w:p>
    <w:p>
      <w:pPr>
        <w:numPr>
          <w:ilvl w:val="0"/>
          <w:numId w:val="1013"/>
        </w:numPr>
      </w:pPr>
      <w:r>
        <w:t xml:space="preserve">Redfish API: Redfish is the modern RESTful replacement for IPMI/SNMP. For automated scripts or infrastructure-as-code, SSO is achieved via Session Tokens. A user authenticates securely via the /redfish/v1/SessionService/Sessions endpoint using their AD credentials, receives a temporary X-Auth-Token, and passes it in subsequent REST API headers. For server-to-server operations (like automated agents), HPE ProLiant Gen12+ utilizes Application Accounts / Tokens, minimizing human credential leakage.</w:t>
      </w:r>
      <w:r>
        <w:t xml:space="preserve"> </w:t>
      </w:r>
      <w:hyperlink w:anchor="ref-8">
        <w:r>
          <w:rPr>
            <w:rStyle w:val="Hyperlink"/>
          </w:rPr>
          <w:t xml:space="preserve">8</w:t>
        </w:r>
      </w:hyperlink>
      <w:r>
        <w:t xml:space="preserve">,</w:t>
      </w:r>
      <w:r>
        <w:t xml:space="preserve"> </w:t>
      </w:r>
      <w:hyperlink w:anchor="ref-9">
        <w:r>
          <w:rPr>
            <w:rStyle w:val="Hyperlink"/>
          </w:rPr>
          <w:t xml:space="preserve">9</w:t>
        </w:r>
      </w:hyperlink>
      <w:r>
        <w:t xml:space="preserve">,</w:t>
      </w:r>
      <w:r>
        <w:t xml:space="preserve"> </w:t>
      </w:r>
      <w:hyperlink w:anchor="ref-10">
        <w:r>
          <w:rPr>
            <w:rStyle w:val="Hyperlink"/>
          </w:rPr>
          <w:t xml:space="preserve">10</w:t>
        </w:r>
      </w:hyperlink>
      <w:r>
        <w:t xml:space="preserve">,</w:t>
      </w:r>
      <w:r>
        <w:t xml:space="preserve"> </w:t>
      </w:r>
      <w:hyperlink w:anchor="ref-11">
        <w:r>
          <w:rPr>
            <w:rStyle w:val="Hyperlink"/>
          </w:rPr>
          <w:t xml:space="preserve">11</w:t>
        </w:r>
      </w:hyperlink>
    </w:p>
    <w:bookmarkEnd w:id="15"/>
    <w:bookmarkStart w:id="16" w:name="sec9"/>
    <w:p>
      <w:pPr>
        <w:pStyle w:val="Heading2"/>
      </w:pPr>
      <w:r>
        <w:t xml:space="preserve">3. Out-of-Band Network Access (ZPE Nodegrid)</w:t>
      </w:r>
    </w:p>
    <w:p>
      <w:pPr>
        <w:pStyle w:val="FirstParagraph"/>
      </w:pPr>
      <w:r>
        <w:t xml:space="preserve">Nodegrid serves as the critical console server infrastructure, providing access to hardware when the production network is down.</w:t>
      </w:r>
    </w:p>
    <w:p>
      <w:pPr>
        <w:pStyle w:val="Compact"/>
        <w:numPr>
          <w:ilvl w:val="0"/>
          <w:numId w:val="1014"/>
        </w:numPr>
      </w:pPr>
      <w:r>
        <w:t xml:space="preserve">SAML 2.0 Web SSO: Nodegrid devices are configured as Service Providers (SP)</w:t>
      </w:r>
    </w:p>
    <w:p>
      <w:pPr>
        <w:pStyle w:val="Compact"/>
        <w:numPr>
          <w:ilvl w:val="0"/>
          <w:numId w:val="1014"/>
        </w:numPr>
      </w:pPr>
      <w:r>
        <w:t xml:space="preserve">linked to the bank’s central identity provider (e.g., Azure AD/Entra ID) using XML Metadata exchange.</w:t>
      </w:r>
    </w:p>
    <w:p>
      <w:pPr>
        <w:pStyle w:val="Compact"/>
        <w:numPr>
          <w:ilvl w:val="0"/>
          <w:numId w:val="1014"/>
        </w:numPr>
      </w:pPr>
      <w:r>
        <w:t xml:space="preserve">An engineer logging into the Nodegrid UI is redirected to the bank’s portal to fulfill MFA requirements.</w:t>
      </w:r>
      <w:r>
        <w:t xml:space="preserve"> </w:t>
      </w:r>
      <w:hyperlink w:anchor="ref-12">
        <w:r>
          <w:rPr>
            <w:rStyle w:val="Hyperlink"/>
          </w:rPr>
          <w:t xml:space="preserve">12</w:t>
        </w:r>
      </w:hyperlink>
      <w:r>
        <w:t xml:space="preserve">,</w:t>
      </w:r>
      <w:r>
        <w:t xml:space="preserve"> </w:t>
      </w:r>
      <w:hyperlink w:anchor="ref-13">
        <w:r>
          <w:rPr>
            <w:rStyle w:val="Hyperlink"/>
          </w:rPr>
          <w:t xml:space="preserve">13</w:t>
        </w:r>
      </w:hyperlink>
      <w:r>
        <w:t xml:space="preserve">,</w:t>
      </w:r>
      <w:r>
        <w:t xml:space="preserve"> </w:t>
      </w:r>
      <w:hyperlink w:anchor="ref-14">
        <w:r>
          <w:rPr>
            <w:rStyle w:val="Hyperlink"/>
          </w:rPr>
          <w:t xml:space="preserve">14</w:t>
        </w:r>
      </w:hyperlink>
      <w:r>
        <w:t xml:space="preserve">,</w:t>
      </w:r>
      <w:r>
        <w:t xml:space="preserve"> </w:t>
      </w:r>
      <w:hyperlink w:anchor="ref-15">
        <w:r>
          <w:rPr>
            <w:rStyle w:val="Hyperlink"/>
          </w:rPr>
          <w:t xml:space="preserve">15</w:t>
        </w:r>
      </w:hyperlink>
    </w:p>
    <w:p>
      <w:pPr>
        <w:pStyle w:val="Compact"/>
        <w:numPr>
          <w:ilvl w:val="0"/>
          <w:numId w:val="1014"/>
        </w:numPr>
      </w:pPr>
      <w:r>
        <w:t xml:space="preserve">Console/CLI SSO &amp; Authorization: Once authenticated via SAML, the user’s group claims (e.g., memberOf) are evaluated.</w:t>
      </w:r>
    </w:p>
    <w:p>
      <w:pPr>
        <w:pStyle w:val="Compact"/>
        <w:numPr>
          <w:ilvl w:val="0"/>
          <w:numId w:val="1014"/>
        </w:numPr>
      </w:pPr>
      <w:r>
        <w:t xml:space="preserve">Nodegrid maps these claims to internal device access groups,</w:t>
      </w:r>
    </w:p>
    <w:p>
      <w:pPr>
        <w:pStyle w:val="Compact"/>
        <w:numPr>
          <w:ilvl w:val="0"/>
          <w:numId w:val="1014"/>
        </w:numPr>
      </w:pPr>
      <w:r>
        <w:t xml:space="preserve">giving the user instant pass-through access (via serial/SSH) to specific ProLiant iLO ports without needing to log into the target servers a second time.</w:t>
      </w:r>
      <w:r>
        <w:t xml:space="preserve"> </w:t>
      </w:r>
      <w:hyperlink w:anchor="ref-2">
        <w:r>
          <w:rPr>
            <w:rStyle w:val="Hyperlink"/>
          </w:rPr>
          <w:t xml:space="preserve">2</w:t>
        </w:r>
      </w:hyperlink>
      <w:r>
        <w:t xml:space="preserve">,</w:t>
      </w:r>
      <w:r>
        <w:t xml:space="preserve"> </w:t>
      </w:r>
      <w:hyperlink w:anchor="ref-13">
        <w:r>
          <w:rPr>
            <w:rStyle w:val="Hyperlink"/>
          </w:rPr>
          <w:t xml:space="preserve">13</w:t>
        </w:r>
      </w:hyperlink>
      <w:r>
        <w:t xml:space="preserve">,</w:t>
      </w:r>
      <w:r>
        <w:t xml:space="preserve"> </w:t>
      </w:r>
      <w:hyperlink w:anchor="ref-16">
        <w:r>
          <w:rPr>
            <w:rStyle w:val="Hyperlink"/>
          </w:rPr>
          <w:t xml:space="preserve">16</w:t>
        </w:r>
      </w:hyperlink>
      <w:r>
        <w:t xml:space="preserve">,</w:t>
      </w:r>
      <w:r>
        <w:t xml:space="preserve"> </w:t>
      </w:r>
      <w:hyperlink w:anchor="ref-17">
        <w:r>
          <w:rPr>
            <w:rStyle w:val="Hyperlink"/>
          </w:rPr>
          <w:t xml:space="preserve">17</w:t>
        </w:r>
      </w:hyperlink>
    </w:p>
    <w:bookmarkEnd w:id="16"/>
    <w:bookmarkStart w:id="17" w:name="sec10"/>
    <w:p>
      <w:pPr>
        <w:pStyle w:val="Heading2"/>
      </w:pPr>
      <w:r>
        <w:t xml:space="preserve">4. Management &amp; Orchestration Layer (HPE OneView &amp; MCM)</w:t>
      </w:r>
    </w:p>
    <w:p>
      <w:pPr>
        <w:pStyle w:val="Compact"/>
        <w:numPr>
          <w:ilvl w:val="0"/>
          <w:numId w:val="1015"/>
        </w:numPr>
      </w:pPr>
      <w:r>
        <w:rPr>
          <w:b/>
          <w:bCs/>
        </w:rPr>
        <w:t xml:space="preserve">HPE OneView</w:t>
      </w:r>
      <w:r>
        <w:t xml:space="preserve"> </w:t>
      </w:r>
      <w:r>
        <w:t xml:space="preserve">(formerly HPE OpenView): OneView acts as the core controller for the entire ProLiant server pool.</w:t>
      </w:r>
    </w:p>
    <w:p>
      <w:pPr>
        <w:pStyle w:val="Compact"/>
        <w:numPr>
          <w:ilvl w:val="0"/>
          <w:numId w:val="1015"/>
        </w:numPr>
      </w:pPr>
      <w:r>
        <w:t xml:space="preserve">It integrates natively with Active Directory login domains. Role-Based Access Control (RBAC)</w:t>
      </w:r>
    </w:p>
    <w:p>
      <w:pPr>
        <w:pStyle w:val="Compact"/>
        <w:numPr>
          <w:ilvl w:val="0"/>
          <w:numId w:val="1015"/>
        </w:numPr>
      </w:pPr>
      <w:r>
        <w:t xml:space="preserve">maps AD groups directly to OneView roles (e.g., Infrastructure Administrator).</w:t>
      </w:r>
    </w:p>
    <w:p>
      <w:pPr>
        <w:pStyle w:val="Compact"/>
        <w:numPr>
          <w:ilvl w:val="0"/>
          <w:numId w:val="1015"/>
        </w:numPr>
      </w:pPr>
      <w:r>
        <w:t xml:space="preserve">Because OneView acts as a certificate authority/broker for the underlying hardware,</w:t>
      </w:r>
    </w:p>
    <w:p>
      <w:pPr>
        <w:pStyle w:val="Compact"/>
        <w:numPr>
          <w:ilvl w:val="0"/>
          <w:numId w:val="1015"/>
        </w:numPr>
      </w:pPr>
      <w:r>
        <w:t xml:space="preserve">logging into OneView via AD automatically generates an implicit SSO token to launch the iLO Remote Console for any managed server seamlessly.</w:t>
      </w:r>
    </w:p>
    <w:p>
      <w:pPr>
        <w:pStyle w:val="Compact"/>
        <w:numPr>
          <w:ilvl w:val="0"/>
          <w:numId w:val="1015"/>
        </w:numPr>
      </w:pPr>
      <w:r>
        <w:rPr>
          <w:b/>
          <w:bCs/>
        </w:rPr>
        <w:t xml:space="preserve">MCM</w:t>
      </w:r>
      <w:r>
        <w:t xml:space="preserve">(Microsoft Endpoint Configuration Manager / MECM): Formerly SCCM, MCM natively integrates into the Windows Domain infrastructure.</w:t>
      </w:r>
    </w:p>
    <w:p>
      <w:pPr>
        <w:pStyle w:val="Compact"/>
        <w:numPr>
          <w:ilvl w:val="0"/>
          <w:numId w:val="1015"/>
        </w:numPr>
      </w:pPr>
      <w:r>
        <w:t xml:space="preserve">SSO is handled implicitly through Windows Kerberos Authentication.</w:t>
      </w:r>
    </w:p>
    <w:p>
      <w:pPr>
        <w:pStyle w:val="Compact"/>
        <w:numPr>
          <w:ilvl w:val="0"/>
          <w:numId w:val="1015"/>
        </w:numPr>
      </w:pPr>
      <w:r>
        <w:t xml:space="preserve">Because the engineer logs into their Windows jump box with AD credentials,</w:t>
      </w:r>
    </w:p>
    <w:p>
      <w:pPr>
        <w:pStyle w:val="Compact"/>
        <w:numPr>
          <w:ilvl w:val="0"/>
          <w:numId w:val="1015"/>
        </w:numPr>
      </w:pPr>
      <w:r>
        <w:t xml:space="preserve">MCM honours their token, granting them RBAC rights to manage ProLiant OS deployment and configuration tasks without prompting for a login.</w:t>
      </w:r>
      <w:r>
        <w:t xml:space="preserve"> </w:t>
      </w:r>
      <w:hyperlink w:anchor="ref-18">
        <w:r>
          <w:rPr>
            <w:rStyle w:val="Hyperlink"/>
          </w:rPr>
          <w:t xml:space="preserve">18</w:t>
        </w:r>
      </w:hyperlink>
      <w:r>
        <w:t xml:space="preserve">,</w:t>
      </w:r>
      <w:r>
        <w:t xml:space="preserve"> </w:t>
      </w:r>
      <w:hyperlink w:anchor="ref-19">
        <w:r>
          <w:rPr>
            <w:rStyle w:val="Hyperlink"/>
          </w:rPr>
          <w:t xml:space="preserve">19</w:t>
        </w:r>
      </w:hyperlink>
      <w:r>
        <w:t xml:space="preserve">,</w:t>
      </w:r>
      <w:r>
        <w:t xml:space="preserve"> </w:t>
      </w:r>
      <w:hyperlink w:anchor="ref-20">
        <w:r>
          <w:rPr>
            <w:rStyle w:val="Hyperlink"/>
          </w:rPr>
          <w:t xml:space="preserve">20</w:t>
        </w:r>
      </w:hyperlink>
      <w:r>
        <w:t xml:space="preserve">,</w:t>
      </w:r>
      <w:r>
        <w:t xml:space="preserve"> </w:t>
      </w:r>
      <w:hyperlink w:anchor="ref-21">
        <w:r>
          <w:rPr>
            <w:rStyle w:val="Hyperlink"/>
          </w:rPr>
          <w:t xml:space="preserve">21</w:t>
        </w:r>
      </w:hyperlink>
      <w:r>
        <w:t xml:space="preserve">,</w:t>
      </w:r>
      <w:r>
        <w:t xml:space="preserve"> </w:t>
      </w:r>
      <w:hyperlink w:anchor="ref-22">
        <w:r>
          <w:rPr>
            <w:rStyle w:val="Hyperlink"/>
          </w:rPr>
          <w:t xml:space="preserve">22</w:t>
        </w:r>
      </w:hyperlink>
    </w:p>
    <w:bookmarkEnd w:id="17"/>
    <w:bookmarkStart w:id="18" w:name="sec11"/>
    <w:p>
      <w:pPr>
        <w:pStyle w:val="Heading2"/>
      </w:pPr>
      <w:r>
        <w:t xml:space="preserve">5. Monitoring &amp; Alerting Layer (Microsoft SCOM)</w:t>
      </w:r>
    </w:p>
    <w:p>
      <w:pPr>
        <w:pStyle w:val="Compact"/>
        <w:numPr>
          <w:ilvl w:val="0"/>
          <w:numId w:val="1016"/>
        </w:numPr>
      </w:pPr>
      <w:r>
        <w:t xml:space="preserve">SCOM (System Center Operations Manager): Much like MCM, SCOM relies fully on Windows Kerberos authentication and Active Directory architecture.</w:t>
      </w:r>
    </w:p>
    <w:p>
      <w:pPr>
        <w:pStyle w:val="Compact"/>
        <w:numPr>
          <w:ilvl w:val="0"/>
          <w:numId w:val="1016"/>
        </w:numPr>
      </w:pPr>
      <w:r>
        <w:t xml:space="preserve">SCOM management groups are secured via AD global security groups.</w:t>
      </w:r>
    </w:p>
    <w:p>
      <w:pPr>
        <w:pStyle w:val="Compact"/>
        <w:numPr>
          <w:ilvl w:val="0"/>
          <w:numId w:val="1016"/>
        </w:numPr>
      </w:pPr>
      <w:r>
        <w:t xml:space="preserve">HPE OneView Management Pack for SCOM: To achieve seamless visibility,</w:t>
      </w:r>
    </w:p>
    <w:p>
      <w:pPr>
        <w:pStyle w:val="Compact"/>
        <w:numPr>
          <w:ilvl w:val="0"/>
          <w:numId w:val="1016"/>
        </w:numPr>
      </w:pPr>
      <w:r>
        <w:t xml:space="preserve">the HPE SCOM Management Pack is deployed. It utilizes a secure service account or an OAuth/Token connection back to HPE OneView.</w:t>
      </w:r>
    </w:p>
    <w:p>
      <w:pPr>
        <w:pStyle w:val="Compact"/>
        <w:numPr>
          <w:ilvl w:val="0"/>
          <w:numId w:val="1016"/>
        </w:numPr>
      </w:pPr>
      <w:r>
        <w:t xml:space="preserve">The engineer looking at the SCOM console can drill down into a ProLiant hardware alert</w:t>
      </w:r>
    </w:p>
    <w:p>
      <w:pPr>
        <w:pStyle w:val="Compact"/>
        <w:numPr>
          <w:ilvl w:val="0"/>
          <w:numId w:val="1016"/>
        </w:numPr>
      </w:pPr>
      <w:r>
        <w:t xml:space="preserve">and click a contextual link that passes their SSO token straight into OneView or iLO to inspect the hardware health,</w:t>
      </w:r>
    </w:p>
    <w:p>
      <w:pPr>
        <w:pStyle w:val="Compact"/>
        <w:numPr>
          <w:ilvl w:val="0"/>
          <w:numId w:val="1016"/>
        </w:numPr>
      </w:pPr>
      <w:r>
        <w:t xml:space="preserve">eliminating credential friction during high-severity banking outages.</w:t>
      </w:r>
    </w:p>
    <w:p>
      <w:r>
        <w:pict>
          <v:rect style="width:0;height:1.5pt" o:hralign="center" o:hrstd="t" o:hr="t"/>
        </w:pict>
      </w:r>
    </w:p>
    <w:bookmarkEnd w:id="18"/>
    <w:bookmarkStart w:id="27" w:name="sec12"/>
    <w:p>
      <w:pPr>
        <w:pStyle w:val="Heading2"/>
      </w:pPr>
      <w:r>
        <w:t xml:space="preserve">6. iLO Trust-by-Certificate — Configuration Steps</w:t>
      </w:r>
    </w:p>
    <w:p>
      <w:pPr>
        <w:pStyle w:val="FirstParagraph"/>
      </w:pPr>
      <w:r>
        <w:t xml:space="preserve">To eliminate local iLO accounts and lockouts, each HPE ProLiant iLO chip is issued an enterprise CA-signed certificate and configured to trust AD groups via LDAPS. The procedure below implements</w:t>
      </w:r>
      <w:r>
        <w:t xml:space="preserve"> </w:t>
      </w:r>
      <w:r>
        <w:rPr>
          <w:i/>
          <w:iCs/>
        </w:rPr>
        <w:t xml:space="preserve">Trust by Certificate</w:t>
      </w:r>
      <w:r>
        <w:t xml:space="preserve"> </w:t>
      </w:r>
      <w:r>
        <w:t xml:space="preserve">mode so iLO authenticates the user’s identity without prompting for iLO-local credentials.</w:t>
      </w:r>
    </w:p>
    <w:bookmarkStart w:id="19" w:name="sec13"/>
    <w:p>
      <w:pPr>
        <w:pStyle w:val="Heading3"/>
      </w:pPr>
      <w:r>
        <w:t xml:space="preserve">6.1 Prerequisites</w:t>
      </w:r>
    </w:p>
    <w:p>
      <w:pPr>
        <w:pStyle w:val="Compact"/>
        <w:numPr>
          <w:ilvl w:val="0"/>
          <w:numId w:val="1017"/>
        </w:numPr>
      </w:pPr>
      <w:r>
        <w:rPr>
          <w:b/>
          <w:bCs/>
        </w:rPr>
        <w:t xml:space="preserve">Enterprise CA</w:t>
      </w:r>
      <w:r>
        <w:t xml:space="preserve"> </w:t>
      </w:r>
      <w:r>
        <w:t xml:space="preserve">reachable over HTTP/HTTPS (AD CS, Microsoft NDES/PKI, or Venafi).</w:t>
      </w:r>
    </w:p>
    <w:p>
      <w:pPr>
        <w:pStyle w:val="Compact"/>
        <w:numPr>
          <w:ilvl w:val="0"/>
          <w:numId w:val="1017"/>
        </w:numPr>
      </w:pPr>
      <w:r>
        <w:rPr>
          <w:b/>
          <w:bCs/>
        </w:rPr>
        <w:t xml:space="preserve">iLO firmware</w:t>
      </w:r>
      <w:r>
        <w:t xml:space="preserve"> </w:t>
      </w:r>
      <w:r>
        <w:t xml:space="preserve">≥ iLO5 2.5x (Gen10+) for full Trust-by-Certificate + OneView integration.</w:t>
      </w:r>
    </w:p>
    <w:p>
      <w:pPr>
        <w:pStyle w:val="Compact"/>
        <w:numPr>
          <w:ilvl w:val="0"/>
          <w:numId w:val="1017"/>
        </w:numPr>
      </w:pPr>
      <w:r>
        <w:rPr>
          <w:b/>
          <w:bCs/>
        </w:rPr>
        <w:t xml:space="preserve">DNS</w:t>
      </w:r>
      <w:r>
        <w:t xml:space="preserve">: A-record for the iLO FQDN resolvable from the management VLAN.</w:t>
      </w:r>
    </w:p>
    <w:p>
      <w:pPr>
        <w:pStyle w:val="Compact"/>
        <w:numPr>
          <w:ilvl w:val="0"/>
          <w:numId w:val="1017"/>
        </w:numPr>
      </w:pPr>
      <w:r>
        <w:rPr>
          <w:b/>
          <w:bCs/>
        </w:rPr>
        <w:t xml:space="preserve">AD groups</w:t>
      </w:r>
      <w:r>
        <w:t xml:space="preserve"> </w:t>
      </w:r>
      <w:r>
        <w:t xml:space="preserve">pre-created in a Security OU (Tier-0 for admins, Tier-1 for read-only operators).</w:t>
      </w:r>
    </w:p>
    <w:bookmarkEnd w:id="19"/>
    <w:bookmarkStart w:id="20" w:name="sec14"/>
    <w:p>
      <w:pPr>
        <w:pStyle w:val="Heading3"/>
      </w:pPr>
      <w:r>
        <w:t xml:space="preserve">6.2 Step 1 — Generate a Certificate Signing Request (CSR) from iLO</w:t>
      </w:r>
    </w:p>
    <w:p>
      <w:pPr>
        <w:pStyle w:val="Compact"/>
        <w:numPr>
          <w:ilvl w:val="0"/>
          <w:numId w:val="1018"/>
        </w:numPr>
      </w:pPr>
      <w:r>
        <w:t xml:space="preserve">In the iLO web UI, navigate to</w:t>
      </w:r>
      <w:r>
        <w:t xml:space="preserve"> </w:t>
      </w:r>
      <w:r>
        <w:rPr>
          <w:b/>
          <w:bCs/>
        </w:rPr>
        <w:t xml:space="preserve">Administration → Certificate Management → SSL Certificate</w:t>
      </w:r>
      <w:r>
        <w:t xml:space="preserve">.</w:t>
      </w:r>
    </w:p>
    <w:p>
      <w:pPr>
        <w:pStyle w:val="Compact"/>
        <w:numPr>
          <w:ilvl w:val="0"/>
          <w:numId w:val="1018"/>
        </w:numPr>
      </w:pPr>
      <w:r>
        <w:t xml:space="preserve">Click</w:t>
      </w:r>
      <w:r>
        <w:t xml:space="preserve"> </w:t>
      </w:r>
      <w:r>
        <w:rPr>
          <w:b/>
          <w:bCs/>
        </w:rPr>
        <w:t xml:space="preserve">Create CSR</w:t>
      </w:r>
      <w:r>
        <w:t xml:space="preserve"> </w:t>
      </w:r>
      <w:r>
        <w:t xml:space="preserve">(or via</w:t>
      </w:r>
      <w:r>
        <w:t xml:space="preserve"> </w:t>
      </w:r>
      <w:r>
        <w:rPr>
          <w:rStyle w:val="VerbatimChar"/>
        </w:rPr>
        <w:t xml:space="preserve">ilorest</w:t>
      </w:r>
      <w:r>
        <w:t xml:space="preserve"> </w:t>
      </w:r>
      <w:r>
        <w:t xml:space="preserve">CLI:</w:t>
      </w:r>
      <w:r>
        <w:t xml:space="preserve"> </w:t>
      </w:r>
      <w:r>
        <w:rPr>
          <w:rStyle w:val="VerbatimChar"/>
        </w:rPr>
        <w:t xml:space="preserve">ilorest createsr --output cert.csr</w:t>
      </w:r>
      <w:r>
        <w:t xml:space="preserve">).</w:t>
      </w:r>
    </w:p>
    <w:p>
      <w:pPr>
        <w:pStyle w:val="Compact"/>
        <w:numPr>
          <w:ilvl w:val="0"/>
          <w:numId w:val="1018"/>
        </w:numPr>
      </w:pPr>
      <w:r>
        <w:t xml:space="preserve">Specify:</w:t>
      </w:r>
    </w:p>
    <w:p>
      <w:pPr>
        <w:pStyle w:val="Compact"/>
        <w:numPr>
          <w:ilvl w:val="1"/>
          <w:numId w:val="1019"/>
        </w:numPr>
      </w:pPr>
      <w:r>
        <w:rPr>
          <w:b/>
          <w:bCs/>
        </w:rPr>
        <w:t xml:space="preserve">Common Name</w:t>
      </w:r>
      <w:r>
        <w:t xml:space="preserve">:</w:t>
      </w:r>
      <w:r>
        <w:t xml:space="preserve"> </w:t>
      </w:r>
      <w:r>
        <w:rPr>
          <w:rStyle w:val="VerbatimChar"/>
        </w:rPr>
        <w:t xml:space="preserve">&lt;ilo-fqdn&gt;</w:t>
      </w:r>
      <w:r>
        <w:t xml:space="preserve"> </w:t>
      </w:r>
      <w:r>
        <w:t xml:space="preserve">(must match an A-record).</w:t>
      </w:r>
    </w:p>
    <w:p>
      <w:pPr>
        <w:pStyle w:val="Compact"/>
        <w:numPr>
          <w:ilvl w:val="1"/>
          <w:numId w:val="1019"/>
        </w:numPr>
      </w:pPr>
      <w:r>
        <w:rPr>
          <w:b/>
          <w:bCs/>
        </w:rPr>
        <w:t xml:space="preserve">Subject Alternative Name (SAN)</w:t>
      </w:r>
      <w:r>
        <w:t xml:space="preserve">: both the FQDN and the iLO IP address.</w:t>
      </w:r>
    </w:p>
    <w:p>
      <w:pPr>
        <w:pStyle w:val="Compact"/>
        <w:numPr>
          <w:ilvl w:val="1"/>
          <w:numId w:val="1019"/>
        </w:numPr>
      </w:pPr>
      <w:r>
        <w:rPr>
          <w:b/>
          <w:bCs/>
        </w:rPr>
        <w:t xml:space="preserve">Key Size</w:t>
      </w:r>
      <w:r>
        <w:t xml:space="preserve">: 2048 or 4096-bit RSA (4096 recommended for PCI-DORA).</w:t>
      </w:r>
    </w:p>
    <w:p>
      <w:pPr>
        <w:pStyle w:val="Compact"/>
        <w:numPr>
          <w:ilvl w:val="1"/>
          <w:numId w:val="1019"/>
        </w:numPr>
      </w:pPr>
      <w:r>
        <w:rPr>
          <w:b/>
          <w:bCs/>
        </w:rPr>
        <w:t xml:space="preserve">Hash Algorithm</w:t>
      </w:r>
      <w:r>
        <w:t xml:space="preserve">: SHA-256 (not SHA-1).</w:t>
      </w:r>
    </w:p>
    <w:p>
      <w:pPr>
        <w:pStyle w:val="Compact"/>
        <w:numPr>
          <w:ilvl w:val="0"/>
          <w:numId w:val="1018"/>
        </w:numPr>
      </w:pPr>
      <w:r>
        <w:t xml:space="preserve">Copy the generated CSR text.</w:t>
      </w:r>
    </w:p>
    <w:bookmarkEnd w:id="20"/>
    <w:bookmarkStart w:id="21" w:name="sec15"/>
    <w:p>
      <w:pPr>
        <w:pStyle w:val="Heading3"/>
      </w:pPr>
      <w:r>
        <w:t xml:space="preserve">6.3 Step 2 — Issue the Certificate from the Enterprise CA</w:t>
      </w:r>
    </w:p>
    <w:p>
      <w:pPr>
        <w:pStyle w:val="Compact"/>
        <w:numPr>
          <w:ilvl w:val="0"/>
          <w:numId w:val="1020"/>
        </w:numPr>
      </w:pPr>
      <w:r>
        <w:rPr>
          <w:b/>
          <w:bCs/>
        </w:rPr>
        <w:t xml:space="preserve">Microsoft AD CS</w:t>
      </w:r>
      <w:r>
        <w:t xml:space="preserve">:</w:t>
      </w:r>
    </w:p>
    <w:p>
      <w:pPr>
        <w:pStyle w:val="Compact"/>
        <w:numPr>
          <w:ilvl w:val="1"/>
          <w:numId w:val="1021"/>
        </w:numPr>
      </w:pPr>
      <w:r>
        <w:t xml:space="preserve">Open</w:t>
      </w:r>
      <w:r>
        <w:t xml:space="preserve"> </w:t>
      </w:r>
      <w:r>
        <w:rPr>
          <w:rStyle w:val="VerbatimChar"/>
        </w:rPr>
        <w:t xml:space="preserve">certsrv</w:t>
      </w:r>
      <w:r>
        <w:t xml:space="preserve"> </w:t>
      </w:r>
      <w:r>
        <w:t xml:space="preserve">→</w:t>
      </w:r>
      <w:r>
        <w:t xml:space="preserve"> </w:t>
      </w:r>
      <w:r>
        <w:rPr>
          <w:b/>
          <w:bCs/>
        </w:rPr>
        <w:t xml:space="preserve">Request New Certificate</w:t>
      </w:r>
      <w:r>
        <w:t xml:space="preserve"> </w:t>
      </w:r>
      <w:r>
        <w:t xml:space="preserve">→</w:t>
      </w:r>
      <w:r>
        <w:t xml:space="preserve"> </w:t>
      </w:r>
      <w:r>
        <w:rPr>
          <w:b/>
          <w:bCs/>
        </w:rPr>
        <w:t xml:space="preserve">Advanced</w:t>
      </w:r>
      <w:r>
        <w:t xml:space="preserve"> </w:t>
      </w:r>
      <w:r>
        <w:t xml:space="preserve">policy.</w:t>
      </w:r>
    </w:p>
    <w:p>
      <w:pPr>
        <w:pStyle w:val="Compact"/>
        <w:numPr>
          <w:ilvl w:val="1"/>
          <w:numId w:val="1021"/>
        </w:numPr>
      </w:pPr>
      <w:r>
        <w:t xml:space="preserve">Template: select</w:t>
      </w:r>
      <w:r>
        <w:t xml:space="preserve"> </w:t>
      </w:r>
      <w:r>
        <w:rPr>
          <w:b/>
          <w:bCs/>
        </w:rPr>
        <w:t xml:space="preserve">Web Server</w:t>
      </w:r>
      <w:r>
        <w:t xml:space="preserve"> </w:t>
      </w:r>
      <w:r>
        <w:t xml:space="preserve">(or a custom iLO EKU template with</w:t>
      </w:r>
      <w:r>
        <w:t xml:space="preserve"> </w:t>
      </w:r>
      <w:r>
        <w:rPr>
          <w:rStyle w:val="VerbatimChar"/>
        </w:rPr>
        <w:t xml:space="preserve">1.3.6.1.4.1.231.2.1.1.1</w:t>
      </w:r>
      <w:r>
        <w:t xml:space="preserve"> </w:t>
      </w:r>
      <w:r>
        <w:t xml:space="preserve">if present).</w:t>
      </w:r>
    </w:p>
    <w:p>
      <w:pPr>
        <w:pStyle w:val="Compact"/>
        <w:numPr>
          <w:ilvl w:val="1"/>
          <w:numId w:val="1021"/>
        </w:numPr>
      </w:pPr>
      <w:r>
        <w:t xml:space="preserve">Paste the CSR contents; ensure the</w:t>
      </w:r>
      <w:r>
        <w:t xml:space="preserve"> </w:t>
      </w:r>
      <w:r>
        <w:rPr>
          <w:b/>
          <w:bCs/>
        </w:rPr>
        <w:t xml:space="preserve">Subject</w:t>
      </w:r>
      <w:r>
        <w:t xml:space="preserve"> </w:t>
      </w:r>
      <w:r>
        <w:t xml:space="preserve">and</w:t>
      </w:r>
      <w:r>
        <w:t xml:space="preserve"> </w:t>
      </w:r>
      <w:r>
        <w:rPr>
          <w:b/>
          <w:bCs/>
        </w:rPr>
        <w:t xml:space="preserve">SAN</w:t>
      </w:r>
      <w:r>
        <w:t xml:space="preserve"> </w:t>
      </w:r>
      <w:r>
        <w:t xml:space="preserve">fields are preserved.</w:t>
      </w:r>
    </w:p>
    <w:p>
      <w:pPr>
        <w:pStyle w:val="Compact"/>
        <w:numPr>
          <w:ilvl w:val="1"/>
          <w:numId w:val="1021"/>
        </w:numPr>
      </w:pPr>
      <w:r>
        <w:t xml:space="preserve">Download the issued certificate</w:t>
      </w:r>
      <w:r>
        <w:t xml:space="preserve"> </w:t>
      </w:r>
      <w:r>
        <w:rPr>
          <w:b/>
          <w:bCs/>
        </w:rPr>
        <w:t xml:space="preserve">+</w:t>
      </w:r>
      <w:r>
        <w:t xml:space="preserve"> </w:t>
      </w:r>
      <w:r>
        <w:t xml:space="preserve">the CA’s root + intermediate chain as a</w:t>
      </w:r>
      <w:r>
        <w:t xml:space="preserve"> </w:t>
      </w:r>
      <w:r>
        <w:rPr>
          <w:rStyle w:val="VerbatimChar"/>
        </w:rPr>
        <w:t xml:space="preserve">.p7b</w:t>
      </w:r>
      <w:r>
        <w:t xml:space="preserve"> </w:t>
      </w:r>
      <w:r>
        <w:t xml:space="preserve">bundle.</w:t>
      </w:r>
    </w:p>
    <w:p>
      <w:pPr>
        <w:pStyle w:val="Compact"/>
        <w:numPr>
          <w:ilvl w:val="0"/>
          <w:numId w:val="1020"/>
        </w:numPr>
      </w:pPr>
      <w:r>
        <w:rPr>
          <w:b/>
          <w:bCs/>
        </w:rPr>
        <w:t xml:space="preserve">Venafi/NDES</w:t>
      </w:r>
      <w:r>
        <w:t xml:space="preserve">: submit the CSR to the NDES endpoint and retrieve the full chain.</w:t>
      </w:r>
    </w:p>
    <w:bookmarkEnd w:id="21"/>
    <w:bookmarkStart w:id="22" w:name="sec16"/>
    <w:p>
      <w:pPr>
        <w:pStyle w:val="Heading3"/>
      </w:pPr>
      <w:r>
        <w:t xml:space="preserve">6.4 Step 3 — Install the Certificate on iLO (Trust by Certificate)</w:t>
      </w:r>
    </w:p>
    <w:p>
      <w:pPr>
        <w:pStyle w:val="Compact"/>
        <w:numPr>
          <w:ilvl w:val="0"/>
          <w:numId w:val="1022"/>
        </w:numPr>
      </w:pPr>
      <w:r>
        <w:t xml:space="preserve">In iLO:</w:t>
      </w:r>
      <w:r>
        <w:t xml:space="preserve"> </w:t>
      </w:r>
      <w:r>
        <w:rPr>
          <w:b/>
          <w:bCs/>
        </w:rPr>
        <w:t xml:space="preserve">Administration → Certificate Management → SSL Certificate → Import Certificate</w:t>
      </w:r>
      <w:r>
        <w:t xml:space="preserve">.</w:t>
      </w:r>
    </w:p>
    <w:p>
      <w:pPr>
        <w:pStyle w:val="Compact"/>
        <w:numPr>
          <w:ilvl w:val="0"/>
          <w:numId w:val="1022"/>
        </w:numPr>
      </w:pPr>
      <w:r>
        <w:t xml:space="preserve">Upload the issued cert</w:t>
      </w:r>
      <w:r>
        <w:t xml:space="preserve"> </w:t>
      </w:r>
      <w:r>
        <w:rPr>
          <w:b/>
          <w:bCs/>
        </w:rPr>
        <w:t xml:space="preserve">+ the intermediate chain</w:t>
      </w:r>
      <w:r>
        <w:t xml:space="preserve"> </w:t>
      </w:r>
      <w:r>
        <w:t xml:space="preserve">(root is pre-trusted if enrolled via Enterprise CA; import intermediates explicitly).</w:t>
      </w:r>
    </w:p>
    <w:p>
      <w:pPr>
        <w:pStyle w:val="Compact"/>
        <w:numPr>
          <w:ilvl w:val="0"/>
          <w:numId w:val="1022"/>
        </w:numPr>
      </w:pPr>
      <w:r>
        <w:rPr>
          <w:b/>
          <w:bCs/>
        </w:rPr>
        <w:t xml:space="preserve">Reboot</w:t>
      </w:r>
      <w:r>
        <w:t xml:space="preserve"> </w:t>
      </w:r>
      <w:r>
        <w:t xml:space="preserve">iLO when prompted. After restart, the browser trust indicator (lock icon) must show the CA as a trusted issuer.</w:t>
      </w:r>
    </w:p>
    <w:p>
      <w:pPr>
        <w:pStyle w:val="Compact"/>
        <w:numPr>
          <w:ilvl w:val="0"/>
          <w:numId w:val="1022"/>
        </w:numPr>
      </w:pPr>
      <w:r>
        <w:t xml:space="preserve">Verify via</w:t>
      </w:r>
      <w:r>
        <w:t xml:space="preserve"> </w:t>
      </w:r>
      <w:r>
        <w:rPr>
          <w:rStyle w:val="VerbatimChar"/>
        </w:rPr>
        <w:t xml:space="preserve">ilorest</w:t>
      </w:r>
      <w:r>
        <w:t xml:space="preserve">:</w:t>
      </w:r>
    </w:p>
    <w:p>
      <w:pPr>
        <w:pStyle w:val="SourceCode"/>
      </w:pPr>
      <w:r>
        <w:rPr>
          <w:rStyle w:val="VerbatimChar"/>
        </w:rPr>
        <w:t xml:space="preserve">   ilorest login &lt;ilo-fqdn&gt; --user "" --password ""</w:t>
      </w:r>
      <w:r>
        <w:br/>
      </w:r>
      <w:r>
        <w:rPr>
          <w:rStyle w:val="VerbatimChar"/>
        </w:rPr>
        <w:t xml:space="preserve">   ilorest showcert</w:t>
      </w:r>
    </w:p>
    <w:bookmarkEnd w:id="22"/>
    <w:bookmarkStart w:id="23" w:name="sec17"/>
    <w:p>
      <w:pPr>
        <w:pStyle w:val="Heading3"/>
      </w:pPr>
      <w:r>
        <w:t xml:space="preserve">6.5 Step 4 — Configure the LDAP/AD Directory Integration</w:t>
      </w:r>
    </w:p>
    <w:p>
      <w:pPr>
        <w:pStyle w:val="FirstParagraph"/>
      </w:pPr>
      <w:r>
        <w:t xml:space="preserve">Ref</w:t>
      </w:r>
      <w:r>
        <w:t xml:space="preserve"> </w:t>
      </w:r>
      <w:hyperlink w:anchor="ref-3">
        <w:r>
          <w:rPr>
            <w:rStyle w:val="Hyperlink"/>
          </w:rPr>
          <w:t xml:space="preserve">3</w:t>
        </w:r>
      </w:hyperlink>
      <w:r>
        <w:t xml:space="preserve">,</w:t>
      </w:r>
      <w:r>
        <w:t xml:space="preserve"> </w:t>
      </w:r>
      <w:hyperlink w:anchor="ref-6">
        <w:r>
          <w:rPr>
            <w:rStyle w:val="Hyperlink"/>
          </w:rPr>
          <w:t xml:space="preserve">6</w:t>
        </w:r>
      </w:hyperlink>
      <w:r>
        <w:t xml:space="preserve">.</w:t>
      </w:r>
    </w:p>
    <w:p>
      <w:pPr>
        <w:pStyle w:val="Compact"/>
        <w:numPr>
          <w:ilvl w:val="0"/>
          <w:numId w:val="1023"/>
        </w:numPr>
      </w:pPr>
      <w:r>
        <w:t xml:space="preserve">In iLO:</w:t>
      </w:r>
      <w:r>
        <w:t xml:space="preserve"> </w:t>
      </w:r>
      <w:r>
        <w:rPr>
          <w:b/>
          <w:bCs/>
        </w:rPr>
        <w:t xml:space="preserve">Administration → User Administration → Directory Settings</w:t>
      </w:r>
      <w:r>
        <w:t xml:space="preserve">.</w:t>
      </w:r>
    </w:p>
    <w:p>
      <w:pPr>
        <w:pStyle w:val="Compact"/>
        <w:numPr>
          <w:ilvl w:val="0"/>
          <w:numId w:val="1023"/>
        </w:numPr>
      </w:pPr>
      <w:r>
        <w:t xml:space="preserve">Set:</w:t>
      </w:r>
    </w:p>
    <w:p>
      <w:pPr>
        <w:pStyle w:val="Compact"/>
        <w:numPr>
          <w:ilvl w:val="1"/>
          <w:numId w:val="1024"/>
        </w:numPr>
      </w:pPr>
      <w:r>
        <w:rPr>
          <w:b/>
          <w:bCs/>
        </w:rPr>
        <w:t xml:space="preserve">Directory Server Type</w:t>
      </w:r>
      <w:r>
        <w:t xml:space="preserve">:</w:t>
      </w:r>
      <w:r>
        <w:t xml:space="preserve"> </w:t>
      </w:r>
      <w:r>
        <w:rPr>
          <w:rStyle w:val="VerbatimChar"/>
        </w:rPr>
        <w:t xml:space="preserve">Active Directory</w:t>
      </w:r>
      <w:r>
        <w:t xml:space="preserve">.</w:t>
      </w:r>
    </w:p>
    <w:p>
      <w:pPr>
        <w:pStyle w:val="Compact"/>
        <w:numPr>
          <w:ilvl w:val="1"/>
          <w:numId w:val="1024"/>
        </w:numPr>
      </w:pPr>
      <w:r>
        <w:rPr>
          <w:b/>
          <w:bCs/>
        </w:rPr>
        <w:t xml:space="preserve">Directory Server (LDAPS)</w:t>
      </w:r>
      <w:r>
        <w:t xml:space="preserve">:</w:t>
      </w:r>
      <w:r>
        <w:t xml:space="preserve"> </w:t>
      </w:r>
      <w:r>
        <w:rPr>
          <w:rStyle w:val="VerbatimChar"/>
        </w:rPr>
        <w:t xml:space="preserve">ldaps://&lt;dc-fqdn&gt;:636</w:t>
      </w:r>
      <w:r>
        <w:t xml:space="preserve"> </w:t>
      </w:r>
      <w:r>
        <w:t xml:space="preserve">(use the AD Global Catalog for cross-domain groups, or a specific DC in the same site as the iLO VLAN).</w:t>
      </w:r>
    </w:p>
    <w:p>
      <w:pPr>
        <w:pStyle w:val="Compact"/>
        <w:numPr>
          <w:ilvl w:val="1"/>
          <w:numId w:val="1024"/>
        </w:numPr>
      </w:pPr>
      <w:r>
        <w:rPr>
          <w:b/>
          <w:bCs/>
        </w:rPr>
        <w:t xml:space="preserve">Directory Account Context (Base DN)</w:t>
      </w:r>
      <w:r>
        <w:t xml:space="preserve">:</w:t>
      </w:r>
      <w:r>
        <w:t xml:space="preserve"> </w:t>
      </w:r>
      <w:r>
        <w:rPr>
          <w:rStyle w:val="VerbatimChar"/>
        </w:rPr>
        <w:t xml:space="preserve">OU=Security,DC=bank,DC=domains</w:t>
      </w:r>
      <w:r>
        <w:t xml:space="preserve"> </w:t>
      </w:r>
      <w:r>
        <w:t xml:space="preserve">(root of the Tier-0/Tier-1 groups).</w:t>
      </w:r>
    </w:p>
    <w:p>
      <w:pPr>
        <w:pStyle w:val="Compact"/>
        <w:numPr>
          <w:ilvl w:val="1"/>
          <w:numId w:val="1024"/>
        </w:numPr>
      </w:pPr>
      <w:r>
        <w:rPr>
          <w:b/>
          <w:bCs/>
        </w:rPr>
        <w:t xml:space="preserve">Test</w:t>
      </w:r>
      <w:r>
        <w:t xml:space="preserve"> </w:t>
      </w:r>
      <w:r>
        <w:t xml:space="preserve">using a known AD bind account; confirm</w:t>
      </w:r>
      <w:r>
        <w:t xml:space="preserve"> </w:t>
      </w:r>
      <w:r>
        <w:rPr>
          <w:rStyle w:val="VerbatimChar"/>
        </w:rPr>
        <w:t xml:space="preserve">LDAP bind successful</w:t>
      </w:r>
      <w:r>
        <w:t xml:space="preserve">.</w:t>
      </w:r>
    </w:p>
    <w:p>
      <w:pPr>
        <w:pStyle w:val="Compact"/>
        <w:numPr>
          <w:ilvl w:val="0"/>
          <w:numId w:val="1023"/>
        </w:numPr>
      </w:pPr>
      <w:r>
        <w:t xml:space="preserve">Save.</w:t>
      </w:r>
    </w:p>
    <w:bookmarkEnd w:id="23"/>
    <w:bookmarkStart w:id="24" w:name="sec18"/>
    <w:p>
      <w:pPr>
        <w:pStyle w:val="Heading3"/>
      </w:pPr>
      <w:r>
        <w:t xml:space="preserve">6.6 Step 5 — Map AD Groups to iLO Roles (Trust-by-Certificate Group Mapping)</w:t>
      </w:r>
    </w:p>
    <w:p>
      <w:pPr>
        <w:pStyle w:val="FirstParagraph"/>
      </w:pPr>
      <w:r>
        <w:t xml:space="preserve">Ref</w:t>
      </w:r>
      <w:r>
        <w:t xml:space="preserve"> </w:t>
      </w:r>
      <w:hyperlink w:anchor="ref-7">
        <w:r>
          <w:rPr>
            <w:rStyle w:val="Hyperlink"/>
          </w:rPr>
          <w:t xml:space="preserve">7</w:t>
        </w:r>
      </w:hyperlink>
      <w:r>
        <w:t xml:space="preserve">. This is the crux of SSO: iLO consumes the user’s group membership from the LDAP bind and maps it to a local role instead of a per-server local account.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AD Security Group (memberOf)</w:t>
            </w:r>
          </w:p>
        </w:tc>
        <w:tc>
          <w:tcPr/>
          <w:p>
            <w:pPr>
              <w:pStyle w:val="Compact"/>
            </w:pPr>
            <w:r>
              <w:t xml:space="preserve">iLO Local Role</w:t>
            </w:r>
          </w:p>
        </w:tc>
        <w:tc>
          <w:tcPr/>
          <w:p>
            <w:pPr>
              <w:pStyle w:val="Compact"/>
            </w:pPr>
            <w:r>
              <w:t xml:space="preserve">Scope</w:t>
            </w:r>
          </w:p>
        </w:tc>
      </w:tr>
      <w:tr>
        <w:tc>
          <w:tcPr/>
          <w:p>
            <w:pPr>
              <w:pStyle w:val="Compact"/>
            </w:pPr>
            <w:r>
              <w:rPr>
                <w:rStyle w:val="VerbatimChar"/>
              </w:rPr>
              <w:t xml:space="preserve">CN=iLO-Admins,OU=Security,...</w:t>
            </w:r>
          </w:p>
        </w:tc>
        <w:tc>
          <w:tcPr/>
          <w:p>
            <w:pPr>
              <w:pStyle w:val="Compact"/>
            </w:pPr>
            <w:r>
              <w:rPr>
                <w:b/>
                <w:bCs/>
              </w:rPr>
              <w:t xml:space="preserve">Administrator</w:t>
            </w:r>
            <w:r>
              <w:t xml:space="preserve"> </w:t>
            </w:r>
            <w:r>
              <w:t xml:space="preserve">(all iLO privileges incl. remote console, firmware, virtual media)</w:t>
            </w:r>
          </w:p>
        </w:tc>
        <w:tc>
          <w:tcPr/>
          <w:p>
            <w:pPr>
              <w:pStyle w:val="Compact"/>
            </w:pPr>
            <w:r>
              <w:t xml:space="preserve">Server-level</w:t>
            </w:r>
          </w:p>
        </w:tc>
      </w:tr>
      <w:tr>
        <w:tc>
          <w:tcPr/>
          <w:p>
            <w:pPr>
              <w:pStyle w:val="Compact"/>
            </w:pPr>
            <w:r>
              <w:rPr>
                <w:rStyle w:val="VerbatimChar"/>
              </w:rPr>
              <w:t xml:space="preserve">CN=iLO-Console-Operators,OU=Security,...</w:t>
            </w:r>
          </w:p>
        </w:tc>
        <w:tc>
          <w:tcPr/>
          <w:p>
            <w:pPr>
              <w:pStyle w:val="Compact"/>
            </w:pPr>
            <w:r>
              <w:rPr>
                <w:b/>
                <w:bCs/>
              </w:rPr>
              <w:t xml:space="preserve">Remote Console</w:t>
            </w:r>
          </w:p>
        </w:tc>
        <w:tc>
          <w:tcPr/>
          <w:p>
            <w:pPr>
              <w:pStyle w:val="Compact"/>
            </w:pPr>
            <w:r>
              <w:t xml:space="preserve">Server-level</w:t>
            </w:r>
          </w:p>
        </w:tc>
      </w:tr>
      <w:tr>
        <w:tc>
          <w:tcPr/>
          <w:p>
            <w:pPr>
              <w:pStyle w:val="Compact"/>
            </w:pPr>
            <w:r>
              <w:rPr>
                <w:rStyle w:val="VerbatimChar"/>
              </w:rPr>
              <w:t xml:space="preserve">CN=iLO-Read-Only,OU=Security,...</w:t>
            </w:r>
          </w:p>
        </w:tc>
        <w:tc>
          <w:tcPr/>
          <w:p>
            <w:pPr>
              <w:pStyle w:val="Compact"/>
            </w:pPr>
            <w:r>
              <w:rPr>
                <w:b/>
                <w:bCs/>
              </w:rPr>
              <w:t xml:space="preserve">Read Only</w:t>
            </w:r>
          </w:p>
        </w:tc>
        <w:tc>
          <w:tcPr/>
          <w:p>
            <w:pPr>
              <w:pStyle w:val="Compact"/>
            </w:pPr>
            <w:r>
              <w:t xml:space="preserve">Server-level</w:t>
            </w:r>
          </w:p>
        </w:tc>
      </w:tr>
      <w:tr>
        <w:tc>
          <w:tcPr/>
          <w:p>
            <w:pPr>
              <w:pStyle w:val="Compact"/>
            </w:pPr>
            <w:r>
              <w:rPr>
                <w:rStyle w:val="VerbatimChar"/>
              </w:rPr>
              <w:t xml:space="preserve">CN=iLO-Auditors,OU=Security,...</w:t>
            </w:r>
          </w:p>
        </w:tc>
        <w:tc>
          <w:tcPr/>
          <w:p>
            <w:pPr>
              <w:pStyle w:val="Compact"/>
            </w:pPr>
            <w:r>
              <w:rPr>
                <w:b/>
                <w:bCs/>
              </w:rPr>
              <w:t xml:space="preserve">Auditor</w:t>
            </w:r>
          </w:p>
        </w:tc>
        <w:tc>
          <w:tcPr/>
          <w:p>
            <w:pPr>
              <w:pStyle w:val="Compact"/>
            </w:pPr>
            <w:r>
              <w:t xml:space="preserve">Server-level</w:t>
            </w:r>
          </w:p>
        </w:tc>
      </w:tr>
    </w:tbl>
    <w:p>
      <w:pPr>
        <w:pStyle w:val="BodyText"/>
      </w:pPr>
      <w:r>
        <w:t xml:space="preserve">CLI equivalent (via</w:t>
      </w:r>
      <w:r>
        <w:t xml:space="preserve"> </w:t>
      </w:r>
      <w:r>
        <w:rPr>
          <w:rStyle w:val="VerbatimChar"/>
        </w:rPr>
        <w:t xml:space="preserve">ilorest</w:t>
      </w:r>
      <w:r>
        <w:t xml:space="preserve">):</w:t>
      </w:r>
    </w:p>
    <w:p>
      <w:pPr>
        <w:pStyle w:val="SourceCode"/>
      </w:pPr>
      <w:r>
        <w:rPr>
          <w:rStyle w:val="VerbatimChar"/>
        </w:rPr>
        <w:t xml:space="preserve">ilorest.exe config --update</w:t>
      </w:r>
      <w:r>
        <w:br/>
      </w:r>
      <w:r>
        <w:rPr>
          <w:rStyle w:val="VerbatimChar"/>
        </w:rPr>
        <w:t xml:space="preserve">  --mgr_user 0 --mgr_password 0 \</w:t>
      </w:r>
      <w:r>
        <w:br/>
      </w:r>
      <w:r>
        <w:rPr>
          <w:rStyle w:val="VerbatimChar"/>
        </w:rPr>
        <w:t xml:space="preserve">  --ad_server ldaps://dc.bank.domains:636 \</w:t>
      </w:r>
      <w:r>
        <w:br/>
      </w:r>
      <w:r>
        <w:rPr>
          <w:rStyle w:val="VerbatimChar"/>
        </w:rPr>
        <w:t xml:space="preserve">  --ad_cert "-----BEGIN CERTIFICATE----- ..." \</w:t>
      </w:r>
      <w:r>
        <w:br/>
      </w:r>
      <w:r>
        <w:rPr>
          <w:rStyle w:val="VerbatimChar"/>
        </w:rPr>
        <w:t xml:space="preserve">  --ad_group_cn "iLO-Admins"      --ad_role Administrator</w:t>
      </w:r>
      <w:r>
        <w:br/>
      </w:r>
      <w:r>
        <w:rPr>
          <w:rStyle w:val="VerbatimChar"/>
        </w:rPr>
        <w:t xml:space="preserve">  --ad_group_cn "iLO-Console-Operators" --ad_role "Remote Console"</w:t>
      </w:r>
      <w:r>
        <w:br/>
      </w:r>
      <w:r>
        <w:rPr>
          <w:rStyle w:val="VerbatimChar"/>
        </w:rPr>
        <w:t xml:space="preserve">  --ad_group_cn "iLO-Read-Only"   --ad_role "Read Only"</w:t>
      </w:r>
    </w:p>
    <w:p>
      <w:pPr>
        <w:pStyle w:val="FirstParagraph"/>
      </w:pPr>
      <w:r>
        <w:t xml:space="preserve">After mapping,</w:t>
      </w:r>
      <w:r>
        <w:t xml:space="preserve"> </w:t>
      </w:r>
      <w:r>
        <w:rPr>
          <w:b/>
          <w:bCs/>
        </w:rPr>
        <w:t xml:space="preserve">disable iLO-local user accounts</w:t>
      </w:r>
      <w:r>
        <w:t xml:space="preserve"> </w:t>
      </w:r>
      <w:r>
        <w:t xml:space="preserve">(set local accounts to</w:t>
      </w:r>
      <w:r>
        <w:t xml:space="preserve"> </w:t>
      </w:r>
      <w:r>
        <w:rPr>
          <w:rStyle w:val="VerbatimChar"/>
        </w:rPr>
        <w:t xml:space="preserve">disabled</w:t>
      </w:r>
      <w:r>
        <w:t xml:space="preserve"> </w:t>
      </w:r>
      <w:r>
        <w:t xml:space="preserve">or delete) so authentication is enforced solely through the certificate-trusted AD path.</w:t>
      </w:r>
    </w:p>
    <w:bookmarkEnd w:id="24"/>
    <w:bookmarkStart w:id="25" w:name="sec19"/>
    <w:p>
      <w:pPr>
        <w:pStyle w:val="Heading3"/>
      </w:pPr>
      <w:r>
        <w:t xml:space="preserve">6.7 Step 6 — OneView Brokered SSO (optional, for Gen10+/Synergy)</w:t>
      </w:r>
    </w:p>
    <w:p>
      <w:pPr>
        <w:pStyle w:val="FirstParagraph"/>
      </w:pPr>
      <w:r>
        <w:t xml:space="preserve">Because iLO is often managed through HPE OneView:</w:t>
      </w:r>
    </w:p>
    <w:p>
      <w:pPr>
        <w:pStyle w:val="Compact"/>
        <w:numPr>
          <w:ilvl w:val="0"/>
          <w:numId w:val="1025"/>
        </w:numPr>
      </w:pPr>
      <w:r>
        <w:t xml:space="preserve">Import the iLO into OneView:</w:t>
      </w:r>
      <w:r>
        <w:t xml:space="preserve"> </w:t>
      </w:r>
      <w:r>
        <w:rPr>
          <w:b/>
          <w:bCs/>
        </w:rPr>
        <w:t xml:space="preserve">Server Hardware → Add</w:t>
      </w:r>
      <w:r>
        <w:t xml:space="preserve"> </w:t>
      </w:r>
      <w:r>
        <w:t xml:space="preserve">(OneView discovers the certificate via WS-Trust).</w:t>
      </w:r>
    </w:p>
    <w:p>
      <w:pPr>
        <w:pStyle w:val="Compact"/>
        <w:numPr>
          <w:ilvl w:val="0"/>
          <w:numId w:val="1025"/>
        </w:numPr>
      </w:pPr>
      <w:r>
        <w:t xml:space="preserve">In OneView:</w:t>
      </w:r>
      <w:r>
        <w:t xml:space="preserve"> </w:t>
      </w:r>
      <w:r>
        <w:rPr>
          <w:b/>
          <w:bCs/>
        </w:rPr>
        <w:t xml:space="preserve">Settings → Platform Settings → iLO Settings → Enable</w:t>
      </w:r>
      <w:r>
        <w:rPr>
          <w:b/>
          <w:bCs/>
        </w:rPr>
        <w:t xml:space="preserve"> </w:t>
      </w:r>
      <w:r>
        <w:rPr>
          <w:b/>
          <w:bCs/>
        </w:rPr>
        <w:t xml:space="preserve">“Use iLO for remote console with HPE SSO”</w:t>
      </w:r>
      <w:r>
        <w:t xml:space="preserve">.</w:t>
      </w:r>
    </w:p>
    <w:p>
      <w:pPr>
        <w:pStyle w:val="Compact"/>
        <w:numPr>
          <w:ilvl w:val="0"/>
          <w:numId w:val="1025"/>
        </w:numPr>
      </w:pPr>
      <w:r>
        <w:t xml:space="preserve">Map an AD group to the OneView</w:t>
      </w:r>
      <w:r>
        <w:t xml:space="preserve"> </w:t>
      </w:r>
      <w:r>
        <w:rPr>
          <w:i/>
          <w:iCs/>
        </w:rPr>
        <w:t xml:space="preserve">Server Administrator</w:t>
      </w:r>
      <w:r>
        <w:t xml:space="preserve"> </w:t>
      </w:r>
      <w:r>
        <w:t xml:space="preserve">role. A user in that group can then click</w:t>
      </w:r>
      <w:r>
        <w:t xml:space="preserve"> </w:t>
      </w:r>
      <w:r>
        <w:rPr>
          <w:i/>
          <w:iCs/>
        </w:rPr>
        <w:t xml:space="preserve">Remote Console</w:t>
      </w:r>
      <w:r>
        <w:t xml:space="preserve"> </w:t>
      </w:r>
      <w:r>
        <w:t xml:space="preserve">in OneView and get a seamless iLO session without a second login (token is brokered via the OneView-iLO trust relationship).</w:t>
      </w:r>
    </w:p>
    <w:bookmarkEnd w:id="25"/>
    <w:bookmarkStart w:id="26" w:name="sec20"/>
    <w:p>
      <w:pPr>
        <w:pStyle w:val="Heading3"/>
      </w:pPr>
      <w:r>
        <w:t xml:space="preserve">6.8 Verification</w:t>
      </w:r>
    </w:p>
    <w:p>
      <w:pPr>
        <w:pStyle w:val="Compact"/>
        <w:numPr>
          <w:ilvl w:val="0"/>
          <w:numId w:val="1026"/>
        </w:numPr>
      </w:pPr>
      <w:r>
        <w:t xml:space="preserve">Engineer in</w:t>
      </w:r>
      <w:r>
        <w:t xml:space="preserve"> </w:t>
      </w:r>
      <w:r>
        <w:rPr>
          <w:rStyle w:val="VerbatimChar"/>
        </w:rPr>
        <w:t xml:space="preserve">iLO-Admins</w:t>
      </w:r>
      <w:r>
        <w:t xml:space="preserve"> </w:t>
      </w:r>
      <w:r>
        <w:t xml:space="preserve">opens</w:t>
      </w:r>
      <w:r>
        <w:t xml:space="preserve"> </w:t>
      </w:r>
      <w:r>
        <w:rPr>
          <w:rStyle w:val="VerbatimChar"/>
        </w:rPr>
        <w:t xml:space="preserve">https://&lt;ilo-fqdn&gt;</w:t>
      </w:r>
      <w:r>
        <w:t xml:space="preserve"> </w:t>
      </w:r>
      <w:r>
        <w:t xml:space="preserve">→ browser SSO to AD → lands in the iLO UI as Administrator, no iLO password prompt.</w:t>
      </w:r>
    </w:p>
    <w:p>
      <w:pPr>
        <w:pStyle w:val="Compact"/>
        <w:numPr>
          <w:ilvl w:val="0"/>
          <w:numId w:val="1026"/>
        </w:numPr>
      </w:pPr>
      <w:r>
        <w:t xml:space="preserve">Engineer in</w:t>
      </w:r>
      <w:r>
        <w:t xml:space="preserve"> </w:t>
      </w:r>
      <w:r>
        <w:rPr>
          <w:rStyle w:val="VerbatimChar"/>
        </w:rPr>
        <w:t xml:space="preserve">iLO-Read-Only</w:t>
      </w:r>
      <w:r>
        <w:t xml:space="preserve"> </w:t>
      </w:r>
      <w:r>
        <w:t xml:space="preserve">lands in</w:t>
      </w:r>
      <w:r>
        <w:t xml:space="preserve"> </w:t>
      </w:r>
      <w:r>
        <w:rPr>
          <w:b/>
          <w:bCs/>
        </w:rPr>
        <w:t xml:space="preserve">Read Only</w:t>
      </w:r>
      <w:r>
        <w:t xml:space="preserve"> </w:t>
      </w:r>
      <w:r>
        <w:t xml:space="preserve">mode;</w:t>
      </w:r>
      <w:r>
        <w:t xml:space="preserve"> </w:t>
      </w:r>
      <w:r>
        <w:rPr>
          <w:i/>
          <w:iCs/>
        </w:rPr>
        <w:t xml:space="preserve">Remote Console</w:t>
      </w:r>
      <w:r>
        <w:t xml:space="preserve"> </w:t>
      </w:r>
      <w:r>
        <w:t xml:space="preserve">button is greyed out.</w:t>
      </w:r>
    </w:p>
    <w:p>
      <w:pPr>
        <w:pStyle w:val="Compact"/>
        <w:numPr>
          <w:ilvl w:val="0"/>
          <w:numId w:val="1026"/>
        </w:numPr>
      </w:pPr>
      <w:r>
        <w:t xml:space="preserve">Local accounts confirmed</w:t>
      </w:r>
      <w:r>
        <w:t xml:space="preserve"> </w:t>
      </w:r>
      <w:r>
        <w:rPr>
          <w:rStyle w:val="VerbatimChar"/>
        </w:rPr>
        <w:t xml:space="preserve">disabled</w:t>
      </w:r>
      <w:r>
        <w:t xml:space="preserve"> </w:t>
      </w:r>
      <w:r>
        <w:t xml:space="preserve">via</w:t>
      </w:r>
      <w:r>
        <w:t xml:space="preserve"> </w:t>
      </w:r>
      <w:r>
        <w:rPr>
          <w:b/>
          <w:bCs/>
        </w:rPr>
        <w:t xml:space="preserve">Administration → User Administration → Local Accounts</w:t>
      </w:r>
      <w:r>
        <w:t xml:space="preserve">.</w:t>
      </w:r>
    </w:p>
    <w:bookmarkEnd w:id="26"/>
    <w:bookmarkEnd w:id="27"/>
    <w:bookmarkStart w:id="31" w:name="sec21"/>
    <w:p>
      <w:pPr>
        <w:pStyle w:val="Heading2"/>
      </w:pPr>
      <w:r>
        <w:t xml:space="preserve">7. ZPE Nodegrid — Azure AD SAML Claim Mapping (Step-by-Step)</w:t>
      </w:r>
    </w:p>
    <w:p>
      <w:pPr>
        <w:pStyle w:val="FirstParagraph"/>
      </w:pPr>
      <w:r>
        <w:t xml:space="preserve">Nodegrid acts as the SAML 2.0</w:t>
      </w:r>
      <w:r>
        <w:t xml:space="preserve"> </w:t>
      </w:r>
      <w:r>
        <w:rPr>
          <w:b/>
          <w:bCs/>
        </w:rPr>
        <w:t xml:space="preserve">Service Provider (SP)</w:t>
      </w:r>
      <w:r>
        <w:t xml:space="preserve"> </w:t>
      </w:r>
      <w:r>
        <w:t xml:space="preserve">at the physical/serial console boundary. Azure AD (Entra ID) is the</w:t>
      </w:r>
      <w:r>
        <w:t xml:space="preserve"> </w:t>
      </w:r>
      <w:r>
        <w:rPr>
          <w:b/>
          <w:bCs/>
        </w:rPr>
        <w:t xml:space="preserve">Identity Provider (IdP)</w:t>
      </w:r>
      <w:r>
        <w:t xml:space="preserve">. The integration has two halves: claim rules defined in Azure AD, and the SP-side attribute mapping that grants console/SSH pass-through to iLO serial ports. Ref</w:t>
      </w:r>
      <w:r>
        <w:t xml:space="preserve"> </w:t>
      </w:r>
      <w:hyperlink w:anchor="ref-2">
        <w:r>
          <w:rPr>
            <w:rStyle w:val="Hyperlink"/>
          </w:rPr>
          <w:t xml:space="preserve">2</w:t>
        </w:r>
      </w:hyperlink>
      <w:r>
        <w:t xml:space="preserve">,</w:t>
      </w:r>
      <w:r>
        <w:t xml:space="preserve"> </w:t>
      </w:r>
      <w:hyperlink w:anchor="ref-12">
        <w:r>
          <w:rPr>
            <w:rStyle w:val="Hyperlink"/>
          </w:rPr>
          <w:t xml:space="preserve">12</w:t>
        </w:r>
      </w:hyperlink>
      <w:r>
        <w:t xml:space="preserve">,</w:t>
      </w:r>
      <w:r>
        <w:t xml:space="preserve"> </w:t>
      </w:r>
      <w:hyperlink w:anchor="ref-13">
        <w:r>
          <w:rPr>
            <w:rStyle w:val="Hyperlink"/>
          </w:rPr>
          <w:t xml:space="preserve">13</w:t>
        </w:r>
      </w:hyperlink>
      <w:r>
        <w:t xml:space="preserve">,</w:t>
      </w:r>
      <w:r>
        <w:t xml:space="preserve"> </w:t>
      </w:r>
      <w:hyperlink w:anchor="ref-14">
        <w:r>
          <w:rPr>
            <w:rStyle w:val="Hyperlink"/>
          </w:rPr>
          <w:t xml:space="preserve">14</w:t>
        </w:r>
      </w:hyperlink>
      <w:r>
        <w:t xml:space="preserve">,</w:t>
      </w:r>
      <w:r>
        <w:t xml:space="preserve"> </w:t>
      </w:r>
      <w:hyperlink w:anchor="ref-16">
        <w:r>
          <w:rPr>
            <w:rStyle w:val="Hyperlink"/>
          </w:rPr>
          <w:t xml:space="preserve">16</w:t>
        </w:r>
      </w:hyperlink>
      <w:r>
        <w:t xml:space="preserve">,</w:t>
      </w:r>
      <w:r>
        <w:t xml:space="preserve"> </w:t>
      </w:r>
      <w:hyperlink w:anchor="ref-17">
        <w:r>
          <w:rPr>
            <w:rStyle w:val="Hyperlink"/>
          </w:rPr>
          <w:t xml:space="preserve">17</w:t>
        </w:r>
      </w:hyperlink>
      <w:r>
        <w:t xml:space="preserve">.</w:t>
      </w:r>
    </w:p>
    <w:bookmarkStart w:id="28" w:name="sec22"/>
    <w:p>
      <w:pPr>
        <w:pStyle w:val="Heading3"/>
      </w:pPr>
      <w:r>
        <w:t xml:space="preserve">7.1 Part A — Define Azure AD Side (Enterprise Application + Claims)</w:t>
      </w:r>
    </w:p>
    <w:p>
      <w:pPr>
        <w:pStyle w:val="FirstParagraph"/>
      </w:pPr>
      <w:r>
        <w:t xml:space="preserve">Create a non-gallery Enterprise Application for the Nodegrid SP.</w:t>
      </w:r>
    </w:p>
    <w:p>
      <w:pPr>
        <w:numPr>
          <w:ilvl w:val="0"/>
          <w:numId w:val="1027"/>
        </w:numPr>
      </w:pPr>
      <w:r>
        <w:rPr>
          <w:b/>
          <w:bCs/>
        </w:rPr>
        <w:t xml:space="preserve">Azure Portal → Entra ID → Enterprise Applications → New application → Create your own application</w:t>
      </w:r>
      <w:r>
        <w:t xml:space="preserve">.</w:t>
      </w:r>
    </w:p>
    <w:p>
      <w:pPr>
        <w:pStyle w:val="Compact"/>
        <w:numPr>
          <w:ilvl w:val="1"/>
          <w:numId w:val="1028"/>
        </w:numPr>
      </w:pPr>
      <w:r>
        <w:rPr>
          <w:b/>
          <w:bCs/>
        </w:rPr>
        <w:t xml:space="preserve">Name</w:t>
      </w:r>
      <w:r>
        <w:t xml:space="preserve">:</w:t>
      </w:r>
      <w:r>
        <w:t xml:space="preserve"> </w:t>
      </w:r>
      <w:r>
        <w:rPr>
          <w:rStyle w:val="VerbatimChar"/>
        </w:rPr>
        <w:t xml:space="preserve">ZPE Nodegrid - Bankname</w:t>
      </w:r>
    </w:p>
    <w:p>
      <w:pPr>
        <w:pStyle w:val="Compact"/>
        <w:numPr>
          <w:ilvl w:val="1"/>
          <w:numId w:val="1028"/>
        </w:numPr>
      </w:pPr>
      <w:r>
        <w:rPr>
          <w:b/>
          <w:bCs/>
        </w:rPr>
        <w:t xml:space="preserve">Type</w:t>
      </w:r>
      <w:r>
        <w:t xml:space="preserve">:</w:t>
      </w:r>
      <w:r>
        <w:t xml:space="preserve"> </w:t>
      </w:r>
      <w:r>
        <w:rPr>
          <w:rStyle w:val="VerbatimChar"/>
        </w:rPr>
        <w:t xml:space="preserve">Integrate any other application you don't find in the gallery (Non-gallery)</w:t>
      </w:r>
      <w:r>
        <w:t xml:space="preserve">.</w:t>
      </w:r>
    </w:p>
    <w:p>
      <w:pPr>
        <w:pStyle w:val="Compact"/>
        <w:numPr>
          <w:ilvl w:val="1"/>
          <w:numId w:val="1028"/>
        </w:numPr>
      </w:pPr>
      <w:r>
        <w:rPr>
          <w:b/>
          <w:bCs/>
        </w:rPr>
        <w:t xml:space="preserve">Assignment type</w:t>
      </w:r>
      <w:r>
        <w:t xml:space="preserve">:</w:t>
      </w:r>
      <w:r>
        <w:t xml:space="preserve"> </w:t>
      </w:r>
      <w:r>
        <w:rPr>
          <w:rStyle w:val="VerbatimChar"/>
        </w:rPr>
        <w:t xml:space="preserve">Assigned users and groups</w:t>
      </w:r>
      <w:r>
        <w:t xml:space="preserve"> </w:t>
      </w:r>
      <w:r>
        <w:t xml:space="preserve">(select the Tier-0/Tier-1 AD groups that map to Nodegrid roles).</w:t>
      </w:r>
    </w:p>
    <w:p>
      <w:pPr>
        <w:numPr>
          <w:ilvl w:val="0"/>
          <w:numId w:val="1027"/>
        </w:numPr>
      </w:pPr>
      <w:r>
        <w:rPr>
          <w:b/>
          <w:bCs/>
        </w:rPr>
        <w:t xml:space="preserve">Set up single sign-on → SAML → Edit</w:t>
      </w:r>
      <w:r>
        <w:t xml:space="preserve"> </w:t>
      </w:r>
      <w:r>
        <w:t xml:space="preserve">(Basic SAML Configuration):</w:t>
      </w:r>
    </w:p>
    <w:p>
      <w:pPr>
        <w:pStyle w:val="Compact"/>
        <w:numPr>
          <w:ilvl w:val="1"/>
          <w:numId w:val="1029"/>
        </w:numPr>
      </w:pPr>
      <w:r>
        <w:rPr>
          <w:b/>
          <w:bCs/>
        </w:rPr>
        <w:t xml:space="preserve">Name ID</w:t>
      </w:r>
      <w:r>
        <w:t xml:space="preserve">:</w:t>
      </w:r>
      <w:r>
        <w:t xml:space="preserve"> </w:t>
      </w:r>
      <w:r>
        <w:rPr>
          <w:rStyle w:val="VerbatimChar"/>
        </w:rPr>
        <w:t xml:space="preserve">user.userprincipalname</w:t>
      </w:r>
    </w:p>
    <w:p>
      <w:pPr>
        <w:pStyle w:val="Compact"/>
        <w:numPr>
          <w:ilvl w:val="1"/>
          <w:numId w:val="1029"/>
        </w:numPr>
      </w:pPr>
      <w:r>
        <w:rPr>
          <w:b/>
          <w:bCs/>
        </w:rPr>
        <w:t xml:space="preserve">Identifier (Entity ID)</w:t>
      </w:r>
      <w:r>
        <w:t xml:space="preserve">:</w:t>
      </w:r>
      <w:r>
        <w:t xml:space="preserve"> </w:t>
      </w:r>
      <w:r>
        <w:rPr>
          <w:rStyle w:val="VerbatimChar"/>
        </w:rPr>
        <w:t xml:space="preserve">nodegrid</w:t>
      </w:r>
      <w:r>
        <w:t xml:space="preserve"> </w:t>
      </w:r>
      <w:r>
        <w:t xml:space="preserve">(must match Nodegrid</w:t>
      </w:r>
      <w:r>
        <w:t xml:space="preserve"> </w:t>
      </w:r>
      <w:r>
        <w:rPr>
          <w:b/>
          <w:bCs/>
        </w:rPr>
        <w:t xml:space="preserve">Entity ID</w:t>
      </w:r>
      <w:r>
        <w:t xml:space="preserve"> </w:t>
      </w:r>
      <w:r>
        <w:t xml:space="preserve">field exactly, case-sensitive).</w:t>
      </w:r>
    </w:p>
    <w:p>
      <w:pPr>
        <w:pStyle w:val="Compact"/>
        <w:numPr>
          <w:ilvl w:val="1"/>
          <w:numId w:val="1029"/>
        </w:numPr>
      </w:pPr>
      <w:r>
        <w:rPr>
          <w:b/>
          <w:bCs/>
        </w:rPr>
        <w:t xml:space="preserve">Reply URL / ACS URL</w:t>
      </w:r>
      <w:r>
        <w:t xml:space="preserve">:</w:t>
      </w:r>
      <w:r>
        <w:t xml:space="preserve"> </w:t>
      </w:r>
      <w:r>
        <w:rPr>
          <w:rStyle w:val="VerbatimChar"/>
        </w:rPr>
        <w:t xml:space="preserve">https://&lt;nodegrid-fqdn&gt;/saml/acs</w:t>
      </w:r>
    </w:p>
    <w:p>
      <w:pPr>
        <w:pStyle w:val="Compact"/>
        <w:numPr>
          <w:ilvl w:val="1"/>
          <w:numId w:val="1029"/>
        </w:numPr>
      </w:pPr>
      <w:r>
        <w:rPr>
          <w:b/>
          <w:bCs/>
        </w:rPr>
        <w:t xml:space="preserve">Relay State</w:t>
      </w:r>
      <w:r>
        <w:t xml:space="preserve">:</w:t>
      </w:r>
      <w:r>
        <w:t xml:space="preserve"> </w:t>
      </w:r>
      <w:r>
        <w:rPr>
          <w:rStyle w:val="VerbatimChar"/>
        </w:rPr>
        <w:t xml:space="preserve">https://&lt;nodegrid-fqdn&gt;/direct/&lt;device&gt;/console</w:t>
      </w:r>
      <w:r>
        <w:t xml:space="preserve"> </w:t>
      </w:r>
      <w:r>
        <w:t xml:space="preserve">(enables deep-link passthrough to a specific iLO console from the Nodegrid UI).</w:t>
      </w:r>
    </w:p>
    <w:p>
      <w:pPr>
        <w:numPr>
          <w:ilvl w:val="0"/>
          <w:numId w:val="1027"/>
        </w:numPr>
      </w:pPr>
      <w:r>
        <w:rPr>
          <w:b/>
          <w:bCs/>
        </w:rPr>
        <w:t xml:space="preserve">Attributes &amp; Claims → Add new claim(s)</w:t>
      </w:r>
      <w:r>
        <w:t xml:space="preserve">:</w:t>
      </w:r>
    </w:p>
    <w:tbl>
      <w:tblPr>
        <w:tblStyle w:val="Table"/>
        <w:tblW w:type="pct" w:w="5000"/>
        <w:jc w:val="left"/>
        <w:tblInd w:w="720" w:type="dxa"/>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Claim name (case-sensitive)</w:t>
            </w:r>
          </w:p>
        </w:tc>
        <w:tc>
          <w:tcPr/>
          <w:p>
            <w:pPr>
              <w:pStyle w:val="Compact"/>
            </w:pPr>
            <w:r>
              <w:t xml:space="preserve">Namespace</w:t>
            </w:r>
          </w:p>
        </w:tc>
        <w:tc>
          <w:tcPr/>
          <w:p>
            <w:pPr>
              <w:pStyle w:val="Compact"/>
            </w:pPr>
            <w:r>
              <w:t xml:space="preserve">Source attribute</w:t>
            </w:r>
          </w:p>
        </w:tc>
        <w:tc>
          <w:tcPr/>
          <w:p>
            <w:pPr>
              <w:pStyle w:val="Compact"/>
            </w:pPr>
            <w:r>
              <w:t xml:space="preserve">Notes</w:t>
            </w:r>
          </w:p>
        </w:tc>
      </w:tr>
      <w:tr>
        <w:tc>
          <w:tcPr/>
          <w:p>
            <w:pPr>
              <w:pStyle w:val="Compact"/>
            </w:pPr>
            <w:r>
              <w:rPr>
                <w:rStyle w:val="VerbatimChar"/>
              </w:rPr>
              <w:t xml:space="preserve">firstName</w:t>
            </w:r>
          </w:p>
        </w:tc>
        <w:tc>
          <w:tcPr/>
          <w:p>
            <w:pPr>
              <w:pStyle w:val="Compact"/>
            </w:pPr>
            <w:r>
              <w:rPr>
                <w:rStyle w:val="VerbatimChar"/>
              </w:rPr>
              <w:t xml:space="preserve">http://schemas.xmlsoap.org/ws/2005/05/identity/claims/name</w:t>
            </w:r>
          </w:p>
        </w:tc>
        <w:tc>
          <w:tcPr/>
          <w:p>
            <w:pPr>
              <w:pStyle w:val="Compact"/>
            </w:pPr>
            <w:r>
              <w:rPr>
                <w:rStyle w:val="VerbatimChar"/>
              </w:rPr>
              <w:t xml:space="preserve">user.givenName</w:t>
            </w:r>
          </w:p>
        </w:tc>
        <w:tc>
          <w:tcPr/>
          <w:p>
            <w:pPr>
              <w:pStyle w:val="Compact"/>
            </w:pPr>
            <w:r>
              <w:t xml:space="preserve">Required by Nodegrid attribute</w:t>
            </w:r>
          </w:p>
        </w:tc>
      </w:tr>
      <w:tr>
        <w:tc>
          <w:tcPr/>
          <w:p>
            <w:pPr>
              <w:pStyle w:val="Compact"/>
            </w:pPr>
            <w:r>
              <w:rPr>
                <w:rStyle w:val="VerbatimChar"/>
              </w:rPr>
              <w:t xml:space="preserve">lastName</w:t>
            </w:r>
          </w:p>
        </w:tc>
        <w:tc>
          <w:tcPr/>
          <w:p>
            <w:pPr>
              <w:pStyle w:val="Compact"/>
            </w:pPr>
            <w:r>
              <w:rPr>
                <w:rStyle w:val="VerbatimChar"/>
              </w:rPr>
              <w:t xml:space="preserve">http://schemas.xmlsoap.org/ws/2005/05/identity/claims/name</w:t>
            </w:r>
          </w:p>
        </w:tc>
        <w:tc>
          <w:tcPr/>
          <w:p>
            <w:pPr>
              <w:pStyle w:val="Compact"/>
            </w:pPr>
            <w:r>
              <w:rPr>
                <w:rStyle w:val="VerbatimChar"/>
              </w:rPr>
              <w:t xml:space="preserve">user.surname</w:t>
            </w:r>
          </w:p>
        </w:tc>
        <w:tc>
          <w:tcPr/>
          <w:p>
            <w:pPr>
              <w:pStyle w:val="Compact"/>
            </w:pPr>
            <w:r>
              <w:t xml:space="preserve">Required by Nodegrid</w:t>
            </w:r>
          </w:p>
        </w:tc>
      </w:tr>
      <w:tr>
        <w:tc>
          <w:tcPr/>
          <w:p>
            <w:pPr>
              <w:pStyle w:val="Compact"/>
            </w:pPr>
            <w:r>
              <w:rPr>
                <w:rStyle w:val="VerbatimChar"/>
              </w:rPr>
              <w:t xml:space="preserve">emailaddress</w:t>
            </w:r>
          </w:p>
        </w:tc>
        <w:tc>
          <w:tcPr/>
          <w:p>
            <w:pPr>
              <w:pStyle w:val="Compact"/>
            </w:pPr>
            <w:r>
              <w:t xml:space="preserve">(default)</w:t>
            </w:r>
          </w:p>
        </w:tc>
        <w:tc>
          <w:tcPr/>
          <w:p>
            <w:pPr>
              <w:pStyle w:val="Compact"/>
            </w:pPr>
            <w:r>
              <w:rPr>
                <w:rStyle w:val="VerbatimChar"/>
              </w:rPr>
              <w:t xml:space="preserve">user.mail</w:t>
            </w:r>
          </w:p>
        </w:tc>
        <w:tc>
          <w:tcPr/>
          <w:p>
            <w:pPr>
              <w:pStyle w:val="Compact"/>
            </w:pPr>
            <w:r>
              <w:t xml:space="preserve">Used for Nodegrid user record</w:t>
            </w:r>
          </w:p>
        </w:tc>
      </w:tr>
      <w:tr>
        <w:tc>
          <w:tcPr/>
          <w:p>
            <w:pPr>
              <w:pStyle w:val="Compact"/>
            </w:pPr>
            <w:r>
              <w:rPr>
                <w:rStyle w:val="VerbatimChar"/>
              </w:rPr>
              <w:t xml:space="preserve">memberOf</w:t>
            </w:r>
          </w:p>
        </w:tc>
        <w:tc>
          <w:tcPr/>
          <w:p>
            <w:pPr>
              <w:pStyle w:val="Compact"/>
            </w:pPr>
            <w:r>
              <w:rPr>
                <w:rStyle w:val="VerbatimChar"/>
              </w:rPr>
              <w:t xml:space="preserve">http://schemas.microsoft.com/claims/group</w:t>
            </w:r>
          </w:p>
        </w:tc>
        <w:tc>
          <w:tcPr/>
          <w:p>
            <w:pPr>
              <w:pStyle w:val="Compact"/>
            </w:pPr>
            <w:r>
              <w:rPr>
                <w:b/>
                <w:bCs/>
              </w:rPr>
              <w:t xml:space="preserve">Custom value</w:t>
            </w:r>
            <w:r>
              <w:t xml:space="preserve">:</w:t>
            </w:r>
            <w:r>
              <w:t xml:space="preserve"> </w:t>
            </w:r>
            <w:r>
              <w:rPr>
                <w:rStyle w:val="VerbatimChar"/>
              </w:rPr>
              <w:t xml:space="preserve">Administrator</w:t>
            </w:r>
            <w:r>
              <w:t xml:space="preserve"> </w:t>
            </w:r>
            <w:r>
              <w:t xml:space="preserve">or</w:t>
            </w:r>
            <w:r>
              <w:t xml:space="preserve"> </w:t>
            </w:r>
            <w:r>
              <w:rPr>
                <w:rStyle w:val="VerbatimChar"/>
              </w:rPr>
              <w:t xml:space="preserve">User</w:t>
            </w:r>
          </w:p>
        </w:tc>
        <w:tc>
          <w:tcPr/>
          <w:p>
            <w:pPr>
              <w:pStyle w:val="Compact"/>
            </w:pPr>
            <w:r>
              <w:t xml:space="preserve">Maps the engineer’s Azure-side group label into Nodegrid’s local group. Default Nodegrid org groups are</w:t>
            </w:r>
            <w:r>
              <w:t xml:space="preserve"> </w:t>
            </w:r>
            <w:r>
              <w:rPr>
                <w:rStyle w:val="VerbatimChar"/>
              </w:rPr>
              <w:t xml:space="preserve">Administrator</w:t>
            </w:r>
            <w:r>
              <w:t xml:space="preserve"> </w:t>
            </w:r>
            <w:r>
              <w:t xml:space="preserve">and</w:t>
            </w:r>
            <w:r>
              <w:t xml:space="preserve"> </w:t>
            </w:r>
            <w:r>
              <w:rPr>
                <w:rStyle w:val="VerbatimChar"/>
              </w:rPr>
              <w:t xml:space="preserve">User</w:t>
            </w:r>
            <w:r>
              <w:t xml:space="preserve">.</w:t>
            </w:r>
          </w:p>
        </w:tc>
      </w:tr>
      <w:tr>
        <w:tc>
          <w:tcPr/>
          <w:p>
            <w:pPr>
              <w:pStyle w:val="Compact"/>
            </w:pPr>
            <w:r>
              <w:rPr>
                <w:rStyle w:val="VerbatimChar"/>
              </w:rPr>
              <w:t xml:space="preserve">timeout</w:t>
            </w:r>
          </w:p>
        </w:tc>
        <w:tc>
          <w:tcPr/>
          <w:p>
            <w:pPr>
              <w:pStyle w:val="Compact"/>
            </w:pPr>
            <w:r>
              <w:t xml:space="preserve">(default)</w:t>
            </w:r>
          </w:p>
        </w:tc>
        <w:tc>
          <w:tcPr/>
          <w:p>
            <w:pPr>
              <w:pStyle w:val="Compact"/>
            </w:pPr>
            <w:r>
              <w:rPr>
                <w:rStyle w:val="VerbatimChar"/>
              </w:rPr>
              <w:t xml:space="preserve">600</w:t>
            </w:r>
          </w:p>
        </w:tc>
        <w:tc>
          <w:tcPr/>
          <w:p>
            <w:pPr>
              <w:pStyle w:val="Compact"/>
            </w:pPr>
            <w:r>
              <w:t xml:space="preserve">Idle session timeout (seconds) before SAML re-auth.</w:t>
            </w:r>
          </w:p>
        </w:tc>
      </w:tr>
    </w:tbl>
    <w:p>
      <w:pPr>
        <w:numPr>
          <w:ilvl w:val="0"/>
          <w:numId w:val="1000"/>
        </w:numPr>
      </w:pPr>
      <w:r>
        <w:t xml:space="preserve">Notes:</w:t>
      </w:r>
    </w:p>
    <w:p>
      <w:pPr>
        <w:pStyle w:val="Compact"/>
        <w:numPr>
          <w:ilvl w:val="1"/>
          <w:numId w:val="1030"/>
        </w:numPr>
      </w:pPr>
      <w:r>
        <w:t xml:space="preserve">The</w:t>
      </w:r>
      <w:r>
        <w:t xml:space="preserve"> </w:t>
      </w:r>
      <w:r>
        <w:rPr>
          <w:rStyle w:val="VerbatimChar"/>
        </w:rPr>
        <w:t xml:space="preserve">memberOf</w:t>
      </w:r>
      <w:r>
        <w:t xml:space="preserve"> </w:t>
      </w:r>
      <w:r>
        <w:t xml:space="preserve">claim</w:t>
      </w:r>
      <w:r>
        <w:t xml:space="preserve"> </w:t>
      </w:r>
      <w:r>
        <w:rPr>
          <w:b/>
          <w:bCs/>
        </w:rPr>
        <w:t xml:space="preserve">must correspond to an existing Nodegrid local group name</w:t>
      </w:r>
      <w:r>
        <w:t xml:space="preserve">; users not assigned a valid group fall back to</w:t>
      </w:r>
      <w:r>
        <w:t xml:space="preserve"> </w:t>
      </w:r>
      <w:r>
        <w:rPr>
          <w:rStyle w:val="VerbatimChar"/>
        </w:rPr>
        <w:t xml:space="preserve">User</w:t>
      </w:r>
      <w:r>
        <w:t xml:space="preserve">.</w:t>
      </w:r>
    </w:p>
    <w:p>
      <w:pPr>
        <w:pStyle w:val="Compact"/>
        <w:numPr>
          <w:ilvl w:val="1"/>
          <w:numId w:val="1030"/>
        </w:numPr>
      </w:pPr>
      <w:r>
        <w:t xml:space="preserve">For finer console access control, use</w:t>
      </w:r>
      <w:r>
        <w:t xml:space="preserve"> </w:t>
      </w:r>
      <w:r>
        <w:rPr>
          <w:b/>
          <w:bCs/>
        </w:rPr>
        <w:t xml:space="preserve">group-based claims</w:t>
      </w:r>
      <w:r>
        <w:t xml:space="preserve">: set Source Group → select the AD group → transform →</w:t>
      </w:r>
      <w:r>
        <w:t xml:space="preserve"> </w:t>
      </w:r>
      <w:r>
        <w:rPr>
          <w:rStyle w:val="VerbatimChar"/>
        </w:rPr>
        <w:t xml:space="preserve">member</w:t>
      </w:r>
      <w:r>
        <w:t xml:space="preserve">. Then emit a custom claim like</w:t>
      </w:r>
      <w:r>
        <w:t xml:space="preserve"> </w:t>
      </w:r>
      <w:r>
        <w:rPr>
          <w:rStyle w:val="VerbatimChar"/>
        </w:rPr>
        <w:t xml:space="preserve">nodegridConsoleGroup</w:t>
      </w:r>
      <w:r>
        <w:t xml:space="preserve"> </w:t>
      </w:r>
      <w:r>
        <w:t xml:space="preserve">mapped to specific Nodegrid access groups.</w:t>
      </w:r>
    </w:p>
    <w:p>
      <w:pPr>
        <w:pStyle w:val="Compact"/>
        <w:numPr>
          <w:ilvl w:val="1"/>
          <w:numId w:val="1030"/>
        </w:numPr>
      </w:pPr>
      <w:r>
        <w:t xml:space="preserve">Ensure</w:t>
      </w:r>
      <w:r>
        <w:t xml:space="preserve"> </w:t>
      </w:r>
      <w:r>
        <w:rPr>
          <w:b/>
          <w:bCs/>
        </w:rPr>
        <w:t xml:space="preserve">Signature algorithm</w:t>
      </w:r>
      <w:r>
        <w:t xml:space="preserve">:</w:t>
      </w:r>
      <w:r>
        <w:t xml:space="preserve"> </w:t>
      </w:r>
      <w:r>
        <w:rPr>
          <w:rStyle w:val="VerbatimChar"/>
        </w:rPr>
        <w:t xml:space="preserve">SHA-256</w:t>
      </w:r>
      <w:r>
        <w:t xml:space="preserve"> </w:t>
      </w:r>
      <w:r>
        <w:t xml:space="preserve">(the default in Azure AD and what Nodegrid expects).</w:t>
      </w:r>
    </w:p>
    <w:p>
      <w:pPr>
        <w:numPr>
          <w:ilvl w:val="0"/>
          <w:numId w:val="1027"/>
        </w:numPr>
      </w:pPr>
      <w:r>
        <w:rPr>
          <w:b/>
          <w:bCs/>
        </w:rPr>
        <w:t xml:space="preserve">Download</w:t>
      </w:r>
      <w:r>
        <w:t xml:space="preserve"> </w:t>
      </w:r>
      <w:r>
        <w:t xml:space="preserve">the</w:t>
      </w:r>
      <w:r>
        <w:t xml:space="preserve"> </w:t>
      </w:r>
      <w:r>
        <w:rPr>
          <w:b/>
          <w:bCs/>
        </w:rPr>
        <w:t xml:space="preserve">Federated Metadata XML</w:t>
      </w:r>
      <w:r>
        <w:t xml:space="preserve"> </w:t>
      </w:r>
      <w:r>
        <w:t xml:space="preserve">from the SAML settings page (contains the IdP cert + SSO URL + Entity ID).</w:t>
      </w:r>
    </w:p>
    <w:bookmarkEnd w:id="28"/>
    <w:bookmarkStart w:id="29" w:name="sec23"/>
    <w:p>
      <w:pPr>
        <w:pStyle w:val="Heading3"/>
      </w:pPr>
      <w:r>
        <w:t xml:space="preserve">7.2 Part B — Define Nodegrid Side (Service Provider)</w:t>
      </w:r>
    </w:p>
    <w:p>
      <w:pPr>
        <w:pStyle w:val="FirstParagraph"/>
      </w:pPr>
      <w:r>
        <w:t xml:space="preserve">Ref</w:t>
      </w:r>
      <w:r>
        <w:t xml:space="preserve"> </w:t>
      </w:r>
      <w:hyperlink w:anchor="ref-2">
        <w:r>
          <w:rPr>
            <w:rStyle w:val="Hyperlink"/>
          </w:rPr>
          <w:t xml:space="preserve">2</w:t>
        </w:r>
      </w:hyperlink>
      <w:r>
        <w:t xml:space="preserve">,</w:t>
      </w:r>
      <w:r>
        <w:t xml:space="preserve"> </w:t>
      </w:r>
      <w:hyperlink w:anchor="ref-13">
        <w:r>
          <w:rPr>
            <w:rStyle w:val="Hyperlink"/>
          </w:rPr>
          <w:t xml:space="preserve">13</w:t>
        </w:r>
      </w:hyperlink>
      <w:r>
        <w:t xml:space="preserve">. This is configured per-Nodegrid device under</w:t>
      </w:r>
      <w:r>
        <w:t xml:space="preserve"> </w:t>
      </w:r>
      <w:r>
        <w:rPr>
          <w:b/>
          <w:bCs/>
        </w:rPr>
        <w:t xml:space="preserve">Security :: Authentication :: SSO</w:t>
      </w:r>
      <w:r>
        <w:t xml:space="preserve">.</w:t>
      </w:r>
    </w:p>
    <w:p>
      <w:pPr>
        <w:numPr>
          <w:ilvl w:val="0"/>
          <w:numId w:val="1031"/>
        </w:numPr>
      </w:pPr>
      <w:r>
        <w:t xml:space="preserve">In the Nodegrid UI:</w:t>
      </w:r>
      <w:r>
        <w:t xml:space="preserve"> </w:t>
      </w:r>
      <w:r>
        <w:rPr>
          <w:b/>
          <w:bCs/>
        </w:rPr>
        <w:t xml:space="preserve">Security → Authentication → SSO → Import Metadata</w:t>
      </w:r>
      <w:r>
        <w:t xml:space="preserve">.</w:t>
      </w:r>
    </w:p>
    <w:p>
      <w:pPr>
        <w:numPr>
          <w:ilvl w:val="0"/>
          <w:numId w:val="1031"/>
        </w:numPr>
      </w:pPr>
      <w:r>
        <w:rPr>
          <w:b/>
          <w:bCs/>
        </w:rPr>
        <w:t xml:space="preserve">Add / Import Metadata</w:t>
      </w:r>
      <w:r>
        <w:t xml:space="preserve"> </w:t>
      </w:r>
      <w:r>
        <w:t xml:space="preserve">dialog:</w:t>
      </w:r>
    </w:p>
    <w:p>
      <w:pPr>
        <w:pStyle w:val="Compact"/>
        <w:numPr>
          <w:ilvl w:val="1"/>
          <w:numId w:val="1032"/>
        </w:numPr>
      </w:pPr>
      <w:r>
        <w:rPr>
          <w:b/>
          <w:bCs/>
        </w:rPr>
        <w:t xml:space="preserve">Name</w:t>
      </w:r>
      <w:r>
        <w:t xml:space="preserve">:</w:t>
      </w:r>
      <w:r>
        <w:t xml:space="preserve"> </w:t>
      </w:r>
      <w:r>
        <w:rPr>
          <w:rStyle w:val="VerbatimChar"/>
        </w:rPr>
        <w:t xml:space="preserve">azure</w:t>
      </w:r>
      <w:r>
        <w:t xml:space="preserve"> </w:t>
      </w:r>
      <w:r>
        <w:t xml:space="preserve">(must match Azure-side reply-context name).</w:t>
      </w:r>
    </w:p>
    <w:p>
      <w:pPr>
        <w:pStyle w:val="Compact"/>
        <w:numPr>
          <w:ilvl w:val="1"/>
          <w:numId w:val="1032"/>
        </w:numPr>
      </w:pPr>
      <w:r>
        <w:rPr>
          <w:b/>
          <w:bCs/>
        </w:rPr>
        <w:t xml:space="preserve">Status</w:t>
      </w:r>
      <w:r>
        <w:t xml:space="preserve">:</w:t>
      </w:r>
      <w:r>
        <w:t xml:space="preserve"> </w:t>
      </w:r>
      <w:r>
        <w:rPr>
          <w:rStyle w:val="VerbatimChar"/>
        </w:rPr>
        <w:t xml:space="preserve">Enabled</w:t>
      </w:r>
      <w:r>
        <w:t xml:space="preserve">.</w:t>
      </w:r>
    </w:p>
    <w:p>
      <w:pPr>
        <w:pStyle w:val="Compact"/>
        <w:numPr>
          <w:ilvl w:val="1"/>
          <w:numId w:val="1032"/>
        </w:numPr>
      </w:pPr>
      <w:r>
        <w:rPr>
          <w:b/>
          <w:bCs/>
        </w:rPr>
        <w:t xml:space="preserve">Entity ID</w:t>
      </w:r>
      <w:r>
        <w:t xml:space="preserve">:</w:t>
      </w:r>
      <w:r>
        <w:t xml:space="preserve"> </w:t>
      </w:r>
      <w:r>
        <w:rPr>
          <w:rStyle w:val="VerbatimChar"/>
        </w:rPr>
        <w:t xml:space="preserve">nodegrid</w:t>
      </w:r>
      <w:r>
        <w:t xml:space="preserve"> </w:t>
      </w:r>
      <w:r>
        <w:t xml:space="preserve">(same value as the Azure Identifier).</w:t>
      </w:r>
    </w:p>
    <w:p>
      <w:pPr>
        <w:pStyle w:val="Compact"/>
        <w:numPr>
          <w:ilvl w:val="1"/>
          <w:numId w:val="1032"/>
        </w:numPr>
      </w:pPr>
      <w:r>
        <w:rPr>
          <w:b/>
          <w:bCs/>
        </w:rPr>
        <w:t xml:space="preserve">Metadata source</w:t>
      </w:r>
      <w:r>
        <w:t xml:space="preserve">: upload the XML downloaded from Azure (or reference it via a Remote Server URL protected by mutual TLS — do</w:t>
      </w:r>
      <w:r>
        <w:t xml:space="preserve"> </w:t>
      </w:r>
      <w:r>
        <w:rPr>
          <w:b/>
          <w:bCs/>
        </w:rPr>
        <w:t xml:space="preserve">not</w:t>
      </w:r>
      <w:r>
        <w:t xml:space="preserve"> </w:t>
      </w:r>
      <w:r>
        <w:t xml:space="preserve">leave it world-readable).</w:t>
      </w:r>
    </w:p>
    <w:p>
      <w:pPr>
        <w:numPr>
          <w:ilvl w:val="0"/>
          <w:numId w:val="1031"/>
        </w:numPr>
      </w:pPr>
      <w:r>
        <w:rPr>
          <w:b/>
          <w:bCs/>
        </w:rPr>
        <w:t xml:space="preserve">Required fields</w:t>
      </w:r>
      <w:r>
        <w:t xml:space="preserve"> </w:t>
      </w:r>
      <w:r>
        <w:t xml:space="preserve">(filled from Azure):</w:t>
      </w:r>
    </w:p>
    <w:p>
      <w:pPr>
        <w:pStyle w:val="Compact"/>
        <w:numPr>
          <w:ilvl w:val="1"/>
          <w:numId w:val="1033"/>
        </w:numPr>
      </w:pPr>
      <w:r>
        <w:rPr>
          <w:b/>
          <w:bCs/>
        </w:rPr>
        <w:t xml:space="preserve">X.509 Certificate</w:t>
      </w:r>
      <w:r>
        <w:t xml:space="preserve">: IdP signing cert (auto-extracted from the metadata).</w:t>
      </w:r>
    </w:p>
    <w:p>
      <w:pPr>
        <w:pStyle w:val="Compact"/>
        <w:numPr>
          <w:ilvl w:val="1"/>
          <w:numId w:val="1033"/>
        </w:numPr>
      </w:pPr>
      <w:r>
        <w:rPr>
          <w:b/>
          <w:bCs/>
        </w:rPr>
        <w:t xml:space="preserve">Identity Provider (Issuer)</w:t>
      </w:r>
      <w:r>
        <w:t xml:space="preserve">:</w:t>
      </w:r>
      <w:r>
        <w:t xml:space="preserve"> </w:t>
      </w:r>
      <w:r>
        <w:rPr>
          <w:rStyle w:val="VerbatimChar"/>
        </w:rPr>
        <w:t xml:space="preserve">https://sts.windows.net/&lt;tenant-id&gt;/</w:t>
      </w:r>
    </w:p>
    <w:p>
      <w:pPr>
        <w:pStyle w:val="Compact"/>
        <w:numPr>
          <w:ilvl w:val="1"/>
          <w:numId w:val="1033"/>
        </w:numPr>
      </w:pPr>
      <w:r>
        <w:rPr>
          <w:b/>
          <w:bCs/>
        </w:rPr>
        <w:t xml:space="preserve">Single Sign-On URL</w:t>
      </w:r>
      <w:r>
        <w:t xml:space="preserve">:</w:t>
      </w:r>
      <w:r>
        <w:t xml:space="preserve"> </w:t>
      </w:r>
      <w:r>
        <w:rPr>
          <w:rStyle w:val="VerbatimChar"/>
        </w:rPr>
        <w:t xml:space="preserve">https://login.microsoftonline.com/&lt;tenant-id&gt;/saml2</w:t>
      </w:r>
    </w:p>
    <w:p>
      <w:pPr>
        <w:numPr>
          <w:ilvl w:val="0"/>
          <w:numId w:val="1031"/>
        </w:numPr>
      </w:pPr>
      <w:r>
        <w:rPr>
          <w:b/>
          <w:bCs/>
        </w:rPr>
        <w:t xml:space="preserve">Enable Single Logout (SLO)</w:t>
      </w:r>
      <w:r>
        <w:t xml:space="preserve">: enter</w:t>
      </w:r>
      <w:r>
        <w:t xml:space="preserve"> </w:t>
      </w:r>
      <w:r>
        <w:rPr>
          <w:rStyle w:val="VerbatimChar"/>
        </w:rPr>
        <w:t xml:space="preserve">https://login.microsoftonline.com/&lt;tenant-id&gt;/saml2</w:t>
      </w:r>
      <w:r>
        <w:t xml:space="preserve"> </w:t>
      </w:r>
      <w:r>
        <w:t xml:space="preserve">(Azure supports SLO at the same endpoint). This prevents stale console sessions after Azure-side sign-out / MFA timeout.</w:t>
      </w:r>
    </w:p>
    <w:p>
      <w:pPr>
        <w:numPr>
          <w:ilvl w:val="0"/>
          <w:numId w:val="1031"/>
        </w:numPr>
      </w:pPr>
      <w:r>
        <w:rPr>
          <w:b/>
          <w:bCs/>
        </w:rPr>
        <w:t xml:space="preserve">Force Re-authentication</w:t>
      </w:r>
      <w:r>
        <w:t xml:space="preserve">: tick this so the browser always re-prompts Azure AD — critical for DORA auditability (each console launch is attributable).</w:t>
      </w:r>
    </w:p>
    <w:p>
      <w:pPr>
        <w:numPr>
          <w:ilvl w:val="0"/>
          <w:numId w:val="1031"/>
        </w:numPr>
      </w:pPr>
      <w:r>
        <w:rPr>
          <w:b/>
          <w:bCs/>
        </w:rPr>
        <w:t xml:space="preserve">Map the SAML group → Nodegrid local group</w:t>
      </w:r>
      <w:r>
        <w:t xml:space="preserve"> </w:t>
      </w:r>
      <w:r>
        <w:t xml:space="preserve">(this is the claim mapping that actually grants pass-through):</w:t>
      </w:r>
    </w:p>
    <w:p>
      <w:pPr>
        <w:pStyle w:val="Compact"/>
        <w:numPr>
          <w:ilvl w:val="1"/>
          <w:numId w:val="1034"/>
        </w:numPr>
      </w:pPr>
      <w:r>
        <w:t xml:space="preserve">Go to</w:t>
      </w:r>
      <w:r>
        <w:t xml:space="preserve"> </w:t>
      </w:r>
      <w:r>
        <w:rPr>
          <w:b/>
          <w:bCs/>
        </w:rPr>
        <w:t xml:space="preserve">Security → Groups → Local Groups</w:t>
      </w:r>
      <w:r>
        <w:t xml:space="preserve">.</w:t>
      </w:r>
    </w:p>
    <w:p>
      <w:pPr>
        <w:pStyle w:val="Compact"/>
        <w:numPr>
          <w:ilvl w:val="1"/>
          <w:numId w:val="1034"/>
        </w:numPr>
      </w:pPr>
      <w:r>
        <w:rPr>
          <w:b/>
          <w:bCs/>
        </w:rPr>
        <w:t xml:space="preserve">Group name</w:t>
      </w:r>
      <w:r>
        <w:t xml:space="preserve">:</w:t>
      </w:r>
      <w:r>
        <w:t xml:space="preserve"> </w:t>
      </w:r>
      <w:r>
        <w:rPr>
          <w:rStyle w:val="VerbatimChar"/>
        </w:rPr>
        <w:t xml:space="preserve">Administrator</w:t>
      </w:r>
      <w:r>
        <w:t xml:space="preserve"> </w:t>
      </w:r>
      <w:r>
        <w:t xml:space="preserve">(exact case match to the Azure</w:t>
      </w:r>
      <w:r>
        <w:t xml:space="preserve"> </w:t>
      </w:r>
      <w:r>
        <w:rPr>
          <w:rStyle w:val="VerbatimChar"/>
        </w:rPr>
        <w:t xml:space="preserve">memberOf</w:t>
      </w:r>
      <w:r>
        <w:t xml:space="preserve"> </w:t>
      </w:r>
      <w:r>
        <w:t xml:space="preserve">claim value above).</w:t>
      </w:r>
    </w:p>
    <w:p>
      <w:pPr>
        <w:pStyle w:val="Compact"/>
        <w:numPr>
          <w:ilvl w:val="1"/>
          <w:numId w:val="1034"/>
        </w:numPr>
      </w:pPr>
      <w:r>
        <w:rPr>
          <w:b/>
          <w:bCs/>
        </w:rPr>
        <w:t xml:space="preserve">Source</w:t>
      </w:r>
      <w:r>
        <w:t xml:space="preserve">:</w:t>
      </w:r>
      <w:r>
        <w:t xml:space="preserve"> </w:t>
      </w:r>
      <w:r>
        <w:rPr>
          <w:rStyle w:val="VerbatimChar"/>
        </w:rPr>
        <w:t xml:space="preserve">SAML</w:t>
      </w:r>
      <w:r>
        <w:t xml:space="preserve"> </w:t>
      </w:r>
      <w:r>
        <w:t xml:space="preserve">(or</w:t>
      </w:r>
      <w:r>
        <w:t xml:space="preserve"> </w:t>
      </w:r>
      <w:r>
        <w:rPr>
          <w:rStyle w:val="VerbatimChar"/>
        </w:rPr>
        <w:t xml:space="preserve">Remote group</w:t>
      </w:r>
      <w:r>
        <w:t xml:space="preserve">) — set the</w:t>
      </w:r>
      <w:r>
        <w:t xml:space="preserve"> </w:t>
      </w:r>
      <w:r>
        <w:rPr>
          <w:i/>
          <w:iCs/>
        </w:rPr>
        <w:t xml:space="preserve">remote group</w:t>
      </w:r>
      <w:r>
        <w:t xml:space="preserve"> </w:t>
      </w:r>
      <w:r>
        <w:t xml:space="preserve">field to</w:t>
      </w:r>
      <w:r>
        <w:t xml:space="preserve"> </w:t>
      </w:r>
      <w:r>
        <w:rPr>
          <w:rStyle w:val="VerbatimChar"/>
        </w:rPr>
        <w:t xml:space="preserve">memberOf</w:t>
      </w:r>
      <w:r>
        <w:t xml:space="preserve"> </w:t>
      </w:r>
      <w:r>
        <w:rPr>
          <w:b/>
          <w:bCs/>
        </w:rPr>
        <w:t xml:space="preserve">OR</w:t>
      </w:r>
      <w:r>
        <w:t xml:space="preserve"> </w:t>
      </w:r>
      <w:r>
        <w:t xml:space="preserve">the</w:t>
      </w:r>
      <w:r>
        <w:t xml:space="preserve"> </w:t>
      </w:r>
      <w:r>
        <w:rPr>
          <w:i/>
          <w:iCs/>
        </w:rPr>
        <w:t xml:space="preserve">Group name</w:t>
      </w:r>
      <w:r>
        <w:t xml:space="preserve"> </w:t>
      </w:r>
      <w:r>
        <w:t xml:space="preserve">to match the claim.</w:t>
      </w:r>
    </w:p>
    <w:p>
      <w:pPr>
        <w:pStyle w:val="Compact"/>
        <w:numPr>
          <w:ilvl w:val="1"/>
          <w:numId w:val="1034"/>
        </w:numPr>
      </w:pPr>
      <w:r>
        <w:t xml:space="preserve">Assign</w:t>
      </w:r>
      <w:r>
        <w:t xml:space="preserve"> </w:t>
      </w:r>
      <w:r>
        <w:rPr>
          <w:b/>
          <w:bCs/>
        </w:rPr>
        <w:t xml:space="preserve">member roles</w:t>
      </w:r>
      <w:r>
        <w:t xml:space="preserve">:</w:t>
      </w:r>
      <w:r>
        <w:t xml:space="preserve"> </w:t>
      </w:r>
      <w:r>
        <w:rPr>
          <w:rStyle w:val="VerbatimChar"/>
        </w:rPr>
        <w:t xml:space="preserve">CLI access</w:t>
      </w:r>
      <w:r>
        <w:t xml:space="preserve">,</w:t>
      </w:r>
      <w:r>
        <w:t xml:space="preserve"> </w:t>
      </w:r>
      <w:r>
        <w:rPr>
          <w:rStyle w:val="VerbatimChar"/>
        </w:rPr>
        <w:t xml:space="preserve">Serial/SSH console access</w:t>
      </w:r>
      <w:r>
        <w:t xml:space="preserve">,</w:t>
      </w:r>
      <w:r>
        <w:t xml:space="preserve"> </w:t>
      </w:r>
      <w:r>
        <w:rPr>
          <w:rStyle w:val="VerbatimChar"/>
        </w:rPr>
        <w:t xml:space="preserve">Remote Console (iLO)</w:t>
      </w:r>
      <w:r>
        <w:t xml:space="preserve">,</w:t>
      </w:r>
      <w:r>
        <w:t xml:space="preserve"> </w:t>
      </w:r>
      <w:r>
        <w:rPr>
          <w:rStyle w:val="VerbatimChar"/>
        </w:rPr>
        <w:t xml:space="preserve">Local admin override</w:t>
      </w:r>
      <w:r>
        <w:t xml:space="preserve"> </w:t>
      </w:r>
      <w:r>
        <w:t xml:space="preserve">as required by policy.</w:t>
      </w:r>
    </w:p>
    <w:p>
      <w:pPr>
        <w:numPr>
          <w:ilvl w:val="0"/>
          <w:numId w:val="1000"/>
        </w:numPr>
      </w:pPr>
      <w:r>
        <w:t xml:space="preserve">Repeat for</w:t>
      </w:r>
      <w:r>
        <w:t xml:space="preserve"> </w:t>
      </w:r>
      <w:r>
        <w:rPr>
          <w:rStyle w:val="VerbatimChar"/>
        </w:rPr>
        <w:t xml:space="preserve">User</w:t>
      </w:r>
      <w:r>
        <w:t xml:space="preserve"> </w:t>
      </w:r>
      <w:r>
        <w:t xml:space="preserve">(read-only console) and any additional role-based groups (e.g.,</w:t>
      </w:r>
      <w:r>
        <w:t xml:space="preserve"> </w:t>
      </w:r>
      <w:r>
        <w:rPr>
          <w:rStyle w:val="VerbatimChar"/>
        </w:rPr>
        <w:t xml:space="preserve">Network-Admins</w:t>
      </w:r>
      <w:r>
        <w:t xml:space="preserve">,</w:t>
      </w:r>
      <w:r>
        <w:t xml:space="preserve"> </w:t>
      </w:r>
      <w:r>
        <w:rPr>
          <w:rStyle w:val="VerbatimChar"/>
        </w:rPr>
        <w:t xml:space="preserve">Hardware-Engineers</w:t>
      </w:r>
      <w:r>
        <w:t xml:space="preserve">) — each AD group emitted by Azure AD as a claim gets its own Nodegrid local group with scoped console access.</w:t>
      </w:r>
    </w:p>
    <w:p>
      <w:pPr>
        <w:numPr>
          <w:ilvl w:val="0"/>
          <w:numId w:val="1031"/>
        </w:numPr>
      </w:pPr>
      <w:r>
        <w:rPr>
          <w:b/>
          <w:bCs/>
        </w:rPr>
        <w:t xml:space="preserve">Optional — per-device SSO (proxy access)</w:t>
      </w:r>
      <w:r>
        <w:t xml:space="preserve">:</w:t>
      </w:r>
    </w:p>
    <w:p>
      <w:pPr>
        <w:pStyle w:val="Compact"/>
        <w:numPr>
          <w:ilvl w:val="1"/>
          <w:numId w:val="1035"/>
        </w:numPr>
      </w:pPr>
      <w:r>
        <w:t xml:space="preserve">Copy the</w:t>
      </w:r>
      <w:r>
        <w:t xml:space="preserve"> </w:t>
      </w:r>
      <w:r>
        <w:rPr>
          <w:b/>
          <w:bCs/>
        </w:rPr>
        <w:t xml:space="preserve">ACS URL</w:t>
      </w:r>
      <w:r>
        <w:t xml:space="preserve"> </w:t>
      </w:r>
      <w:r>
        <w:t xml:space="preserve">of the specific Nodegrid device</w:t>
      </w:r>
    </w:p>
    <w:p>
      <w:pPr>
        <w:pStyle w:val="Compact"/>
        <w:numPr>
          <w:ilvl w:val="1"/>
          <w:numId w:val="1035"/>
        </w:numPr>
      </w:pPr>
      <w:r>
        <w:t xml:space="preserve">Return to Azure → add the</w:t>
      </w:r>
      <w:r>
        <w:t xml:space="preserve"> </w:t>
      </w:r>
      <w:r>
        <w:rPr>
          <w:b/>
          <w:bCs/>
        </w:rPr>
        <w:t xml:space="preserve">ACS URL</w:t>
      </w:r>
      <w:r>
        <w:t xml:space="preserve"> </w:t>
      </w:r>
      <w:r>
        <w:t xml:space="preserve">as a</w:t>
      </w:r>
      <w:r>
        <w:t xml:space="preserve"> </w:t>
      </w:r>
      <w:r>
        <w:rPr>
          <w:b/>
          <w:bCs/>
        </w:rPr>
        <w:t xml:space="preserve">Reply URL</w:t>
      </w:r>
      <w:r>
        <w:t xml:space="preserve"> </w:t>
      </w:r>
      <w:r>
        <w:t xml:space="preserve">(SP) and a</w:t>
      </w:r>
      <w:r>
        <w:t xml:space="preserve"> </w:t>
      </w:r>
      <w:r>
        <w:rPr>
          <w:b/>
          <w:bCs/>
        </w:rPr>
        <w:t xml:space="preserve">secondary Reply URL</w:t>
      </w:r>
      <w:r>
        <w:t xml:space="preserve"> </w:t>
      </w:r>
      <w:r>
        <w:rPr>
          <w:rStyle w:val="VerbatimChar"/>
        </w:rPr>
        <w:t xml:space="preserve">https://proxy-access.zpecloud.com</w:t>
      </w:r>
      <w:r>
        <w:t xml:space="preserve"> </w:t>
      </w:r>
      <w:r>
        <w:t xml:space="preserve">if remote device access is needed.</w:t>
      </w:r>
    </w:p>
    <w:p>
      <w:pPr>
        <w:pStyle w:val="Compact"/>
        <w:numPr>
          <w:ilvl w:val="1"/>
          <w:numId w:val="1035"/>
        </w:numPr>
      </w:pPr>
      <w:r>
        <w:t xml:space="preserve">Save.</w:t>
      </w:r>
    </w:p>
    <w:bookmarkEnd w:id="29"/>
    <w:bookmarkStart w:id="30" w:name="sec24"/>
    <w:p>
      <w:pPr>
        <w:pStyle w:val="Heading3"/>
      </w:pPr>
      <w:r>
        <w:t xml:space="preserve">7.3 Verification</w:t>
      </w:r>
    </w:p>
    <w:p>
      <w:pPr>
        <w:pStyle w:val="Compact"/>
        <w:numPr>
          <w:ilvl w:val="0"/>
          <w:numId w:val="1036"/>
        </w:numPr>
      </w:pPr>
      <w:r>
        <w:t xml:space="preserve">Engineer browses to</w:t>
      </w:r>
      <w:r>
        <w:t xml:space="preserve"> </w:t>
      </w:r>
      <w:r>
        <w:rPr>
          <w:rStyle w:val="VerbatimChar"/>
        </w:rPr>
        <w:t xml:space="preserve">https://&lt;nodegrid-fqdn&gt;</w:t>
      </w:r>
      <w:r>
        <w:t xml:space="preserve"> </w:t>
      </w:r>
      <w:r>
        <w:t xml:space="preserve">→ redirected to</w:t>
      </w:r>
      <w:r>
        <w:t xml:space="preserve"> </w:t>
      </w:r>
      <w:r>
        <w:rPr>
          <w:rStyle w:val="VerbatimChar"/>
        </w:rPr>
        <w:t xml:space="preserve">login.microsoftonline.com</w:t>
      </w:r>
      <w:r>
        <w:t xml:space="preserve"> </w:t>
      </w:r>
      <w:r>
        <w:t xml:space="preserve">→ MFA at ADFS/Conditional Access → lands</w:t>
      </w:r>
      <w:r>
        <w:t xml:space="preserve"> </w:t>
      </w:r>
      <w:r>
        <w:rPr>
          <w:b/>
          <w:bCs/>
        </w:rPr>
        <w:t xml:space="preserve">back in Nodegrid as</w:t>
      </w:r>
      <w:r>
        <w:rPr>
          <w:b/>
          <w:bCs/>
        </w:rPr>
        <w:t xml:space="preserve"> </w:t>
      </w:r>
      <w:r>
        <w:rPr>
          <w:rStyle w:val="VerbatimChar"/>
          <w:b/>
          <w:bCs/>
        </w:rPr>
        <w:t xml:space="preserve">Administrator</w:t>
      </w:r>
      <w:r>
        <w:t xml:space="preserve"> </w:t>
      </w:r>
      <w:r>
        <w:t xml:space="preserve">(no Nodegrid-local password).</w:t>
      </w:r>
    </w:p>
    <w:p>
      <w:pPr>
        <w:pStyle w:val="Compact"/>
        <w:numPr>
          <w:ilvl w:val="0"/>
          <w:numId w:val="1036"/>
        </w:numPr>
      </w:pPr>
      <w:r>
        <w:t xml:space="preserve">Engineer’s</w:t>
      </w:r>
      <w:r>
        <w:t xml:space="preserve"> </w:t>
      </w:r>
      <w:r>
        <w:rPr>
          <w:rStyle w:val="VerbatimChar"/>
        </w:rPr>
        <w:t xml:space="preserve">memberOf=Administrator</w:t>
      </w:r>
      <w:r>
        <w:t xml:space="preserve"> </w:t>
      </w:r>
      <w:r>
        <w:t xml:space="preserve">claim is reflected in</w:t>
      </w:r>
      <w:r>
        <w:t xml:space="preserve"> </w:t>
      </w:r>
      <w:r>
        <w:rPr>
          <w:b/>
          <w:bCs/>
        </w:rPr>
        <w:t xml:space="preserve">Security → Users →</w:t>
      </w:r>
      <w:r>
        <w:rPr>
          <w:b/>
          <w:bCs/>
        </w:rPr>
        <w:t xml:space="preserve"> </w:t>
      </w:r>
      <w:r>
        <w:t xml:space="preserve"> </w:t>
      </w:r>
      <w:r>
        <w:t xml:space="preserve">showing the Nodegrid group</w:t>
      </w:r>
      <w:r>
        <w:t xml:space="preserve"> </w:t>
      </w:r>
      <w:r>
        <w:rPr>
          <w:rStyle w:val="VerbatimChar"/>
        </w:rPr>
        <w:t xml:space="preserve">Administrator</w:t>
      </w:r>
      <w:r>
        <w:t xml:space="preserve">.</w:t>
      </w:r>
    </w:p>
    <w:p>
      <w:pPr>
        <w:pStyle w:val="Compact"/>
        <w:numPr>
          <w:ilvl w:val="0"/>
          <w:numId w:val="1036"/>
        </w:numPr>
      </w:pPr>
      <w:r>
        <w:rPr>
          <w:rStyle w:val="VerbatimChar"/>
        </w:rPr>
        <w:t xml:space="preserve">memberOf=User</w:t>
      </w:r>
      <w:r>
        <w:t xml:space="preserve">-mapped account sees the same device list but</w:t>
      </w:r>
      <w:r>
        <w:t xml:space="preserve"> </w:t>
      </w:r>
      <w:r>
        <w:rPr>
          <w:b/>
          <w:bCs/>
        </w:rPr>
        <w:t xml:space="preserve">Serial Console / SSH</w:t>
      </w:r>
      <w:r>
        <w:t xml:space="preserve"> </w:t>
      </w:r>
      <w:r>
        <w:t xml:space="preserve">buttons are restricted per that group’s ACL (no full config write).</w:t>
      </w:r>
    </w:p>
    <w:p>
      <w:pPr>
        <w:pStyle w:val="Compact"/>
        <w:numPr>
          <w:ilvl w:val="0"/>
          <w:numId w:val="1036"/>
        </w:numPr>
      </w:pPr>
      <w:r>
        <w:t xml:space="preserve">After Azure sign-out, Nodegrid session terminates (SLO confirmed).</w:t>
      </w:r>
    </w:p>
    <w:bookmarkEnd w:id="30"/>
    <w:bookmarkEnd w:id="31"/>
    <w:bookmarkStart w:id="39" w:name="sec25"/>
    <w:p>
      <w:pPr>
        <w:pStyle w:val="Heading2"/>
      </w:pPr>
      <w:r>
        <w:t xml:space="preserve">8. Windows Interactive &amp; RDP SSO — Preventing Account Lockouts</w:t>
      </w:r>
    </w:p>
    <w:p>
      <w:pPr>
        <w:pStyle w:val="FirstParagraph"/>
      </w:pPr>
      <w:r>
        <w:t xml:space="preserve">The document’s Sections 1 and 4 mention Kerberos/SAML/MECM but do</w:t>
      </w:r>
      <w:r>
        <w:t xml:space="preserve"> </w:t>
      </w:r>
      <w:r>
        <w:rPr>
          <w:b/>
          <w:bCs/>
        </w:rPr>
        <w:t xml:space="preserve">not</w:t>
      </w:r>
      <w:r>
        <w:t xml:space="preserve"> </w:t>
      </w:r>
      <w:r>
        <w:t xml:space="preserve">address the boss’s actual pain: engineers logging into 50+ servers/day and triggering AD account lockouts via per-server interactive (password) prompts. The fix is to make AD sign-on</w:t>
      </w:r>
      <w:r>
        <w:t xml:space="preserve"> </w:t>
      </w:r>
      <w:r>
        <w:rPr>
          <w:b/>
          <w:bCs/>
        </w:rPr>
        <w:t xml:space="preserve">the single credential</w:t>
      </w:r>
      <w:r>
        <w:t xml:space="preserve"> </w:t>
      </w:r>
      <w:r>
        <w:t xml:space="preserve">that is reused across all RDP hops without re-prompting, using Kerberos SSO with Restricted Admin Mode to satisfy DORA/PSD2 SCA. Ref</w:t>
      </w:r>
      <w:r>
        <w:t xml:space="preserve"> </w:t>
      </w:r>
      <w:hyperlink w:anchor="ref-1">
        <w:r>
          <w:rPr>
            <w:rStyle w:val="Hyperlink"/>
          </w:rPr>
          <w:t xml:space="preserve">1</w:t>
        </w:r>
      </w:hyperlink>
      <w:r>
        <w:t xml:space="preserve">,</w:t>
      </w:r>
      <w:r>
        <w:t xml:space="preserve"> </w:t>
      </w:r>
      <w:hyperlink w:anchor="ref-18">
        <w:r>
          <w:rPr>
            <w:rStyle w:val="Hyperlink"/>
          </w:rPr>
          <w:t xml:space="preserve">18</w:t>
        </w:r>
      </w:hyperlink>
      <w:r>
        <w:t xml:space="preserve">,</w:t>
      </w:r>
      <w:r>
        <w:t xml:space="preserve"> </w:t>
      </w:r>
      <w:hyperlink w:anchor="ref-19">
        <w:r>
          <w:rPr>
            <w:rStyle w:val="Hyperlink"/>
          </w:rPr>
          <w:t xml:space="preserve">19</w:t>
        </w:r>
      </w:hyperlink>
      <w:r>
        <w:t xml:space="preserve">,</w:t>
      </w:r>
      <w:r>
        <w:t xml:space="preserve"> </w:t>
      </w:r>
      <w:hyperlink w:anchor="ref-20">
        <w:r>
          <w:rPr>
            <w:rStyle w:val="Hyperlink"/>
          </w:rPr>
          <w:t xml:space="preserve">20</w:t>
        </w:r>
      </w:hyperlink>
      <w:r>
        <w:t xml:space="preserve">.</w:t>
      </w:r>
    </w:p>
    <w:bookmarkStart w:id="32" w:name="sec26"/>
    <w:p>
      <w:pPr>
        <w:pStyle w:val="Heading3"/>
      </w:pPr>
      <w:r>
        <w:t xml:space="preserve">8.1 Core principle: one credential, no per-server prompts</w:t>
      </w:r>
    </w:p>
    <w:p>
      <w:pPr>
        <w:pStyle w:val="FirstParagraph"/>
      </w:pPr>
      <w:r>
        <w:t xml:space="preserve">Engineers sign on</w:t>
      </w:r>
      <w:r>
        <w:t xml:space="preserve"> </w:t>
      </w:r>
      <w:r>
        <w:rPr>
          <w:b/>
          <w:bCs/>
        </w:rPr>
        <w:t xml:space="preserve">once</w:t>
      </w:r>
      <w:r>
        <w:t xml:space="preserve"> </w:t>
      </w:r>
      <w:r>
        <w:t xml:space="preserve">(AD or Azure AD + MFA at the jump box / device), obtaining a</w:t>
      </w:r>
      <w:r>
        <w:t xml:space="preserve"> </w:t>
      </w:r>
      <w:r>
        <w:rPr>
          <w:b/>
          <w:bCs/>
        </w:rPr>
        <w:t xml:space="preserve">Kerberos TGT</w:t>
      </w:r>
      <w:r>
        <w:t xml:space="preserve">. Every subsequent RDP session to the 50+ servers reuses that TGT via</w:t>
      </w:r>
      <w:r>
        <w:t xml:space="preserve"> </w:t>
      </w:r>
      <w:r>
        <w:rPr>
          <w:b/>
          <w:bCs/>
        </w:rPr>
        <w:t xml:space="preserve">Credential Security Support Provider (CredSSP)</w:t>
      </w:r>
      <w:r>
        <w:t xml:space="preserve"> </w:t>
      </w:r>
      <w:r>
        <w:t xml:space="preserve">in</w:t>
      </w:r>
      <w:r>
        <w:t xml:space="preserve"> </w:t>
      </w:r>
      <w:r>
        <w:rPr>
          <w:b/>
          <w:bCs/>
        </w:rPr>
        <w:t xml:space="preserve">Restricted Admin Mode</w:t>
      </w:r>
      <w:r>
        <w:t xml:space="preserve">. Because no password is ever typed at the remote server, lockout-prone interactive binds do not recur.</w:t>
      </w:r>
    </w:p>
    <w:bookmarkEnd w:id="32"/>
    <w:bookmarkStart w:id="33" w:name="sec27"/>
    <w:p>
      <w:pPr>
        <w:pStyle w:val="Heading3"/>
      </w:pPr>
      <w:r>
        <w:t xml:space="preserve">8.2 Domain Controller / AD-side controls (prevent lockout at source)</w:t>
      </w:r>
    </w:p>
    <w:p>
      <w:pPr>
        <w:pStyle w:val="FirstParagraph"/>
      </w:pPr>
      <w:r>
        <w:t xml:space="preserve">Apply via Group Policy to the</w:t>
      </w:r>
      <w:r>
        <w:t xml:space="preserve"> </w:t>
      </w:r>
      <w:r>
        <w:rPr>
          <w:b/>
          <w:bCs/>
        </w:rPr>
        <w:t xml:space="preserve">Domain Controllers OU</w:t>
      </w:r>
      <w:r>
        <w:t xml:space="preserve"> </w:t>
      </w:r>
      <w:r>
        <w:t xml:space="preserve">and the workstation/server OUs: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GPO path</w:t>
            </w:r>
          </w:p>
        </w:tc>
        <w:tc>
          <w:tcPr/>
          <w:p>
            <w:pPr>
              <w:pStyle w:val="Compact"/>
            </w:pPr>
            <w:r>
              <w:t xml:space="preserve">Setting</w:t>
            </w:r>
          </w:p>
        </w:tc>
        <w:tc>
          <w:tcPr/>
          <w:p>
            <w:pPr>
              <w:pStyle w:val="Compact"/>
            </w:pPr>
            <w:r>
              <w:t xml:space="preserve">Recommended value</w:t>
            </w:r>
          </w:p>
        </w:tc>
        <w:tc>
          <w:tcPr/>
          <w:p>
            <w:pPr>
              <w:pStyle w:val="Compact"/>
            </w:pPr>
            <w:r>
              <w:t xml:space="preserve">Rationale</w:t>
            </w:r>
          </w:p>
        </w:tc>
      </w:tr>
      <w:tr>
        <w:tc>
          <w:tcPr/>
          <w:p>
            <w:pPr>
              <w:pStyle w:val="Compact"/>
            </w:pPr>
            <w:r>
              <w:rPr>
                <w:rStyle w:val="VerbatimChar"/>
              </w:rPr>
              <w:t xml:space="preserve">Computer Configuration → Policies → Windows Settings → Security Settings → Account Policies → Account Lockout Policy</w:t>
            </w:r>
          </w:p>
        </w:tc>
        <w:tc>
          <w:tcPr/>
          <w:p>
            <w:pPr>
              <w:pStyle w:val="Compact"/>
            </w:pPr>
            <w:r>
              <w:rPr>
                <w:rStyle w:val="VerbatimChar"/>
              </w:rPr>
              <w:t xml:space="preserve">Account lockout threshold</w:t>
            </w:r>
          </w:p>
        </w:tc>
        <w:tc>
          <w:tcPr/>
          <w:p>
            <w:pPr>
              <w:pStyle w:val="Compact"/>
            </w:pPr>
            <w:r>
              <w:rPr>
                <w:rStyle w:val="VerbatimChar"/>
              </w:rPr>
              <w:t xml:space="preserve">5 invalid logons</w:t>
            </w:r>
          </w:p>
        </w:tc>
        <w:tc>
          <w:tcPr/>
          <w:p>
            <w:pPr>
              <w:pStyle w:val="Compact"/>
            </w:pPr>
            <w:r>
              <w:t xml:space="preserve">Allows a small MFA retry window; resets after</w:t>
            </w:r>
            <w:r>
              <w:t xml:space="preserve"> </w:t>
            </w:r>
            <w:r>
              <w:rPr>
                <w:rStyle w:val="VerbatimChar"/>
              </w:rPr>
              <w:t xml:space="preserve">Lockout duration</w:t>
            </w:r>
          </w:p>
        </w:tc>
      </w:tr>
      <w:tr>
        <w:tc>
          <w:tcPr/>
          <w:p>
            <w:pPr>
              <w:pStyle w:val="Compact"/>
            </w:pPr>
          </w:p>
        </w:tc>
        <w:tc>
          <w:tcPr/>
          <w:p>
            <w:pPr>
              <w:pStyle w:val="Compact"/>
            </w:pPr>
            <w:r>
              <w:rPr>
                <w:rStyle w:val="VerbatimChar"/>
              </w:rPr>
              <w:t xml:space="preserve">Account lockout duration</w:t>
            </w:r>
          </w:p>
        </w:tc>
        <w:tc>
          <w:tcPr/>
          <w:p>
            <w:pPr>
              <w:pStyle w:val="Compact"/>
            </w:pPr>
            <w:r>
              <w:rPr>
                <w:rStyle w:val="VerbatimChar"/>
              </w:rPr>
              <w:t xml:space="preserve">30 minutes</w:t>
            </w:r>
          </w:p>
        </w:tc>
        <w:tc>
          <w:tcPr/>
          <w:p>
            <w:pPr>
              <w:pStyle w:val="Compact"/>
            </w:pPr>
            <w:r>
              <w:t xml:space="preserve">Short enough to recover without a ticket; long enough to deter brute force (DORA)</w:t>
            </w:r>
          </w:p>
        </w:tc>
      </w:tr>
      <w:tr>
        <w:tc>
          <w:tcPr/>
          <w:p>
            <w:pPr>
              <w:pStyle w:val="Compact"/>
            </w:pPr>
          </w:p>
        </w:tc>
        <w:tc>
          <w:tcPr/>
          <w:p>
            <w:pPr>
              <w:pStyle w:val="Compact"/>
            </w:pPr>
            <w:r>
              <w:rPr>
                <w:rStyle w:val="VerbatimChar"/>
              </w:rPr>
              <w:t xml:space="preserve">Reset account lockout counter after</w:t>
            </w:r>
          </w:p>
        </w:tc>
        <w:tc>
          <w:tcPr/>
          <w:p>
            <w:pPr>
              <w:pStyle w:val="Compact"/>
            </w:pPr>
            <w:r>
              <w:rPr>
                <w:rStyle w:val="VerbatimChar"/>
              </w:rPr>
              <w:t xml:space="preserve">30 minutes</w:t>
            </w:r>
          </w:p>
        </w:tc>
        <w:tc>
          <w:tcPr/>
          <w:p>
            <w:pPr>
              <w:pStyle w:val="Compact"/>
            </w:pPr>
          </w:p>
        </w:tc>
      </w:tr>
      <w:tr>
        <w:tc>
          <w:tcPr/>
          <w:p>
            <w:pPr>
              <w:pStyle w:val="Compact"/>
            </w:pPr>
            <w:r>
              <w:rPr>
                <w:rStyle w:val="VerbatimChar"/>
              </w:rPr>
              <w:t xml:space="preserve">Computer Configuration → Windows Settings → Security Settings → Account Policies → Kerberos Policy</w:t>
            </w:r>
          </w:p>
        </w:tc>
        <w:tc>
          <w:tcPr/>
          <w:p>
            <w:pPr>
              <w:pStyle w:val="Compact"/>
            </w:pPr>
            <w:r>
              <w:rPr>
                <w:rStyle w:val="VerbatimChar"/>
              </w:rPr>
              <w:t xml:space="preserve">Maximum lifetime for user ticket</w:t>
            </w:r>
          </w:p>
        </w:tc>
        <w:tc>
          <w:tcPr/>
          <w:p>
            <w:pPr>
              <w:pStyle w:val="Compact"/>
            </w:pPr>
            <w:r>
              <w:rPr>
                <w:rStyle w:val="VerbatimChar"/>
              </w:rPr>
              <w:t xml:space="preserve">600 minutes (10h)</w:t>
            </w:r>
          </w:p>
        </w:tc>
        <w:tc>
          <w:tcPr/>
          <w:p>
            <w:pPr>
              <w:pStyle w:val="Compact"/>
            </w:pPr>
            <w:r>
              <w:t xml:space="preserve">Long enough for a shift; shorter than default to limit replay</w:t>
            </w:r>
          </w:p>
        </w:tc>
      </w:tr>
      <w:tr>
        <w:tc>
          <w:tcPr/>
          <w:p>
            <w:pPr>
              <w:pStyle w:val="Compact"/>
            </w:pPr>
          </w:p>
        </w:tc>
        <w:tc>
          <w:tcPr/>
          <w:p>
            <w:pPr>
              <w:pStyle w:val="Compact"/>
            </w:pPr>
            <w:r>
              <w:rPr>
                <w:rStyle w:val="VerbatimChar"/>
              </w:rPr>
              <w:t xml:space="preserve">Maximum lifetime for user ticket (renewal)</w:t>
            </w:r>
          </w:p>
        </w:tc>
        <w:tc>
          <w:tcPr/>
          <w:p>
            <w:pPr>
              <w:pStyle w:val="Compact"/>
            </w:pPr>
            <w:r>
              <w:rPr>
                <w:rStyle w:val="VerbatimChar"/>
              </w:rPr>
              <w:t xml:space="preserve">7 days</w:t>
            </w:r>
          </w:p>
        </w:tc>
        <w:tc>
          <w:tcPr/>
          <w:p>
            <w:pPr>
              <w:pStyle w:val="Compact"/>
            </w:pPr>
          </w:p>
        </w:tc>
      </w:tr>
      <w:tr>
        <w:tc>
          <w:tcPr/>
          <w:p>
            <w:pPr>
              <w:pStyle w:val="Compact"/>
            </w:pPr>
          </w:p>
        </w:tc>
        <w:tc>
          <w:tcPr/>
          <w:p>
            <w:pPr>
              <w:pStyle w:val="Compact"/>
            </w:pPr>
            <w:r>
              <w:rPr>
                <w:rStyle w:val="VerbatimChar"/>
              </w:rPr>
              <w:t xml:space="preserve">Enforce user logon restrictions</w:t>
            </w:r>
          </w:p>
        </w:tc>
        <w:tc>
          <w:tcPr/>
          <w:p>
            <w:pPr>
              <w:pStyle w:val="Compact"/>
            </w:pPr>
            <w:r>
              <w:rPr>
                <w:rStyle w:val="VerbatimChar"/>
              </w:rPr>
              <w:t xml:space="preserve">Enabled</w:t>
            </w:r>
          </w:p>
        </w:tc>
        <w:tc>
          <w:tcPr/>
          <w:p>
            <w:pPr>
              <w:pStyle w:val="Compact"/>
            </w:pPr>
            <w:r>
              <w:t xml:space="preserve">Stops logons to disabled accounts immediately</w:t>
            </w:r>
          </w:p>
        </w:tc>
      </w:tr>
    </w:tbl>
    <w:bookmarkEnd w:id="33"/>
    <w:bookmarkStart w:id="36" w:name="sec28"/>
    <w:p>
      <w:pPr>
        <w:pStyle w:val="Heading3"/>
      </w:pPr>
      <w:r>
        <w:t xml:space="preserve">8.3 Step-by-step: Configure Windows workstation and servers</w:t>
      </w:r>
    </w:p>
    <w:p>
      <w:pPr>
        <w:pStyle w:val="FirstParagraph"/>
      </w:pPr>
      <w:r>
        <w:t xml:space="preserve">Ref</w:t>
      </w:r>
      <w:r>
        <w:t xml:space="preserve"> </w:t>
      </w:r>
      <w:hyperlink w:anchor="ref-19">
        <w:r>
          <w:rPr>
            <w:rStyle w:val="Hyperlink"/>
          </w:rPr>
          <w:t xml:space="preserve">19</w:t>
        </w:r>
      </w:hyperlink>
      <w:r>
        <w:t xml:space="preserve">,</w:t>
      </w:r>
      <w:r>
        <w:t xml:space="preserve"> </w:t>
      </w:r>
      <w:hyperlink w:anchor="ref-20">
        <w:r>
          <w:rPr>
            <w:rStyle w:val="Hyperlink"/>
          </w:rPr>
          <w:t xml:space="preserve">20</w:t>
        </w:r>
      </w:hyperlink>
      <w:r>
        <w:t xml:space="preserve">. The critical GPO paths are under both</w:t>
      </w:r>
      <w:r>
        <w:t xml:space="preserve"> </w:t>
      </w:r>
      <w:r>
        <w:rPr>
          <w:rStyle w:val="VerbatimChar"/>
        </w:rPr>
        <w:t xml:space="preserve">Computer Configuration</w:t>
      </w:r>
      <w:r>
        <w:t xml:space="preserve"> </w:t>
      </w:r>
      <w:r>
        <w:t xml:space="preserve">and</w:t>
      </w:r>
      <w:r>
        <w:t xml:space="preserve"> </w:t>
      </w:r>
      <w:r>
        <w:rPr>
          <w:rStyle w:val="VerbatimChar"/>
        </w:rPr>
        <w:t xml:space="preserve">Administrative Templates</w:t>
      </w:r>
      <w:r>
        <w:t xml:space="preserve">.</w:t>
      </w:r>
    </w:p>
    <w:bookmarkStart w:id="34" w:name="sec29"/>
    <w:p>
      <w:pPr>
        <w:pStyle w:val="Heading4"/>
      </w:pPr>
      <w:r>
        <w:t xml:space="preserve">8.3.1 Jump-box / engineer workstation (Tier-1)</w:t>
      </w:r>
    </w:p>
    <w:p>
      <w:pPr>
        <w:pStyle w:val="Compact"/>
        <w:numPr>
          <w:ilvl w:val="0"/>
          <w:numId w:val="1037"/>
        </w:numPr>
      </w:pPr>
      <w:r>
        <w:t xml:space="preserve">Join workstation to AD and</w:t>
      </w:r>
      <w:r>
        <w:t xml:space="preserve"> </w:t>
      </w:r>
      <w:r>
        <w:rPr>
          <w:b/>
          <w:bCs/>
        </w:rPr>
        <w:t xml:space="preserve">enable Azure AD Hybrid</w:t>
      </w:r>
      <w:r>
        <w:t xml:space="preserve"> </w:t>
      </w:r>
      <w:r>
        <w:t xml:space="preserve">so MFA at sign-in (Conditional Access) issues a primary refresh token.</w:t>
      </w:r>
    </w:p>
    <w:p>
      <w:pPr>
        <w:pStyle w:val="Compact"/>
        <w:numPr>
          <w:ilvl w:val="0"/>
          <w:numId w:val="1037"/>
        </w:numPr>
      </w:pPr>
      <w:r>
        <w:t xml:space="preserve">Apply a</w:t>
      </w:r>
      <w:r>
        <w:t xml:space="preserve"> </w:t>
      </w:r>
      <w:r>
        <w:rPr>
          <w:b/>
          <w:bCs/>
        </w:rPr>
        <w:t xml:space="preserve">device-level GPO</w:t>
      </w:r>
      <w:r>
        <w:t xml:space="preserve"> </w:t>
      </w:r>
      <w:r>
        <w:t xml:space="preserve">to the workstation OU:</w:t>
      </w:r>
    </w:p>
    <w:p>
      <w:pPr>
        <w:pStyle w:val="Compact"/>
        <w:numPr>
          <w:ilvl w:val="1"/>
          <w:numId w:val="1038"/>
        </w:numPr>
      </w:pPr>
      <w:r>
        <w:rPr>
          <w:b/>
          <w:bCs/>
        </w:rPr>
        <w:t xml:space="preserve">Computer Configuration → Administrative Templates → System → Logon →</w:t>
      </w:r>
      <w:r>
        <w:t xml:space="preserve"> </w:t>
      </w:r>
      <w:r>
        <w:t xml:space="preserve">enable:</w:t>
      </w:r>
    </w:p>
    <w:p>
      <w:pPr>
        <w:pStyle w:val="Compact"/>
        <w:numPr>
          <w:ilvl w:val="2"/>
          <w:numId w:val="1039"/>
        </w:numPr>
      </w:pPr>
      <w:r>
        <w:rPr>
          <w:rStyle w:val="VerbatimChar"/>
        </w:rPr>
        <w:t xml:space="preserve">Always wait for the network at computer startup and logon</w:t>
      </w:r>
      <w:r>
        <w:t xml:space="preserve"> </w:t>
      </w:r>
      <w:r>
        <w:t xml:space="preserve">— prevents cached-credential auth on slow links (which can bypass MFA).</w:t>
      </w:r>
    </w:p>
    <w:p>
      <w:pPr>
        <w:pStyle w:val="Compact"/>
        <w:numPr>
          <w:ilvl w:val="1"/>
          <w:numId w:val="1038"/>
        </w:numPr>
      </w:pPr>
      <w:r>
        <w:rPr>
          <w:b/>
          <w:bCs/>
        </w:rPr>
        <w:t xml:space="preserve">Computer Configuration → Administrative Templates → Windows Components → Windows Logon Options →</w:t>
      </w:r>
    </w:p>
    <w:p>
      <w:pPr>
        <w:pStyle w:val="Compact"/>
        <w:numPr>
          <w:ilvl w:val="2"/>
          <w:numId w:val="1040"/>
        </w:numPr>
      </w:pPr>
      <w:r>
        <w:rPr>
          <w:rStyle w:val="VerbatimChar"/>
        </w:rPr>
        <w:t xml:space="preserve">Configure Logging on / Off over a secure channel: Enabled</w:t>
      </w:r>
    </w:p>
    <w:p>
      <w:pPr>
        <w:pStyle w:val="Compact"/>
        <w:numPr>
          <w:ilvl w:val="2"/>
          <w:numId w:val="1040"/>
        </w:numPr>
      </w:pPr>
      <w:r>
        <w:rPr>
          <w:rStyle w:val="VerbatimChar"/>
        </w:rPr>
        <w:t xml:space="preserve">Network security: Configure encryption types allowed for Kerberos</w:t>
      </w:r>
      <w:r>
        <w:t xml:space="preserve"> </w:t>
      </w:r>
      <w:r>
        <w:t xml:space="preserve">→ AES256-CTS-HMAC-SHA1-916 + Future-Orders.</w:t>
      </w:r>
    </w:p>
    <w:p>
      <w:pPr>
        <w:pStyle w:val="Compact"/>
        <w:numPr>
          <w:ilvl w:val="0"/>
          <w:numId w:val="1037"/>
        </w:numPr>
      </w:pPr>
      <w:r>
        <w:rPr>
          <w:b/>
          <w:bCs/>
        </w:rPr>
        <w:t xml:space="preserve">Disable NTLM fallback</w:t>
      </w:r>
      <w:r>
        <w:t xml:space="preserve"> </w:t>
      </w:r>
      <w:r>
        <w:t xml:space="preserve">on the workstation:</w:t>
      </w:r>
    </w:p>
    <w:p>
      <w:pPr>
        <w:pStyle w:val="Compact"/>
        <w:numPr>
          <w:ilvl w:val="1"/>
          <w:numId w:val="1041"/>
        </w:numPr>
      </w:pPr>
      <w:r>
        <w:rPr>
          <w:rStyle w:val="VerbatimChar"/>
        </w:rPr>
        <w:t xml:space="preserve">Network security: Network authentication: LAN Manager authentication level</w:t>
      </w:r>
      <w:r>
        <w:t xml:space="preserve"> </w:t>
      </w:r>
      <w:r>
        <w:t xml:space="preserve">→</w:t>
      </w:r>
      <w:r>
        <w:t xml:space="preserve"> </w:t>
      </w:r>
      <w:r>
        <w:rPr>
          <w:rStyle w:val="VerbatimChar"/>
        </w:rPr>
        <w:t xml:space="preserve">Send NTLMv2 response only. Refuse LM &amp; NTLM</w:t>
      </w:r>
      <w:r>
        <w:t xml:space="preserve">.</w:t>
      </w:r>
    </w:p>
    <w:bookmarkEnd w:id="34"/>
    <w:bookmarkStart w:id="35" w:name="sec30"/>
    <w:p>
      <w:pPr>
        <w:pStyle w:val="Heading4"/>
      </w:pPr>
      <w:r>
        <w:t xml:space="preserve">8.3.2 RDP target servers (the 50+ ProLiant boxes)</w:t>
      </w:r>
    </w:p>
    <w:p>
      <w:pPr>
        <w:pStyle w:val="FirstParagraph"/>
      </w:pPr>
      <w:r>
        <w:t xml:space="preserve">Ref</w:t>
      </w:r>
      <w:r>
        <w:t xml:space="preserve"> </w:t>
      </w:r>
      <w:hyperlink w:anchor="ref-18">
        <w:r>
          <w:rPr>
            <w:rStyle w:val="Hyperlink"/>
          </w:rPr>
          <w:t xml:space="preserve">18</w:t>
        </w:r>
      </w:hyperlink>
      <w:r>
        <w:t xml:space="preserve">. The lockout prevention happens by enforcing Restricted Admin Mode + Kerberos delegation so credentials are forwarded silently.</w:t>
      </w:r>
    </w:p>
    <w:p>
      <w:pPr>
        <w:pStyle w:val="Compact"/>
        <w:numPr>
          <w:ilvl w:val="0"/>
          <w:numId w:val="1042"/>
        </w:numPr>
      </w:pPr>
      <w:r>
        <w:rPr>
          <w:b/>
          <w:bCs/>
        </w:rPr>
        <w:t xml:space="preserve">Restricted Admin Mode is mandatory</w:t>
      </w:r>
      <w:r>
        <w:t xml:space="preserve"> </w:t>
      </w:r>
      <w:r>
        <w:t xml:space="preserve">— this is what stops the 50+ password prompts and stops credential theft:</w:t>
      </w:r>
    </w:p>
    <w:p>
      <w:pPr>
        <w:pStyle w:val="Compact"/>
        <w:numPr>
          <w:ilvl w:val="1"/>
          <w:numId w:val="1043"/>
        </w:numPr>
      </w:pPr>
      <w:r>
        <w:rPr>
          <w:rStyle w:val="VerbatimChar"/>
        </w:rPr>
        <w:t xml:space="preserve">Computer Configuration → Administrative Templates → Windows Components → Remote Desktop Services → Remote Desktop Session Host → Security</w:t>
      </w:r>
      <w:r>
        <w:t xml:space="preserve">:</w:t>
      </w:r>
    </w:p>
    <w:p>
      <w:pPr>
        <w:pStyle w:val="Compact"/>
        <w:numPr>
          <w:ilvl w:val="2"/>
          <w:numId w:val="1044"/>
        </w:numPr>
      </w:pPr>
      <w:r>
        <w:rPr>
          <w:rStyle w:val="VerbatimChar"/>
        </w:rPr>
        <w:t xml:space="preserve">Require use of specific security layer for Remote Desktop</w:t>
      </w:r>
      <w:r>
        <w:t xml:space="preserve"> </w:t>
      </w:r>
      <w:r>
        <w:t xml:space="preserve">→</w:t>
      </w:r>
      <w:r>
        <w:t xml:space="preserve"> </w:t>
      </w:r>
      <w:r>
        <w:rPr>
          <w:rStyle w:val="VerbatimChar"/>
        </w:rPr>
        <w:t xml:space="preserve">Enabled</w:t>
      </w:r>
      <w:r>
        <w:t xml:space="preserve">, set to</w:t>
      </w:r>
      <w:r>
        <w:t xml:space="preserve"> </w:t>
      </w:r>
      <w:r>
        <w:rPr>
          <w:b/>
          <w:bCs/>
        </w:rPr>
        <w:t xml:space="preserve">SSL (TLS 1.2)</w:t>
      </w:r>
      <w:r>
        <w:t xml:space="preserve"> </w:t>
      </w:r>
      <w:r>
        <w:t xml:space="preserve">(NOT RDP Security Layer).</w:t>
      </w:r>
    </w:p>
    <w:p>
      <w:pPr>
        <w:pStyle w:val="Compact"/>
        <w:numPr>
          <w:ilvl w:val="2"/>
          <w:numId w:val="1044"/>
        </w:numPr>
      </w:pPr>
      <w:r>
        <w:rPr>
          <w:rStyle w:val="VerbatimChar"/>
        </w:rPr>
        <w:t xml:space="preserve">Require Secure RPC communication</w:t>
      </w:r>
      <w:r>
        <w:t xml:space="preserve"> </w:t>
      </w:r>
      <w:r>
        <w:t xml:space="preserve">→</w:t>
      </w:r>
      <w:r>
        <w:t xml:space="preserve"> </w:t>
      </w:r>
      <w:r>
        <w:rPr>
          <w:rStyle w:val="VerbatimChar"/>
        </w:rPr>
        <w:t xml:space="preserve">Enabled</w:t>
      </w:r>
      <w:r>
        <w:t xml:space="preserve">.</w:t>
      </w:r>
    </w:p>
    <w:p>
      <w:pPr>
        <w:pStyle w:val="Compact"/>
        <w:numPr>
          <w:ilvl w:val="2"/>
          <w:numId w:val="1044"/>
        </w:numPr>
      </w:pPr>
      <w:r>
        <w:rPr>
          <w:rStyle w:val="VerbatimChar"/>
        </w:rPr>
        <w:t xml:space="preserve">Set client connection encryption level</w:t>
      </w:r>
      <w:r>
        <w:t xml:space="preserve"> </w:t>
      </w:r>
      <w:r>
        <w:t xml:space="preserve">→</w:t>
      </w:r>
      <w:r>
        <w:t xml:space="preserve"> </w:t>
      </w:r>
      <w:r>
        <w:rPr>
          <w:rStyle w:val="VerbatimChar"/>
        </w:rPr>
        <w:t xml:space="preserve">Enabled</w:t>
      </w:r>
      <w:r>
        <w:t xml:space="preserve">,</w:t>
      </w:r>
      <w:r>
        <w:t xml:space="preserve"> </w:t>
      </w:r>
      <w:r>
        <w:rPr>
          <w:b/>
          <w:bCs/>
        </w:rPr>
        <w:t xml:space="preserve">High Level (TLS 1.2)</w:t>
      </w:r>
      <w:r>
        <w:t xml:space="preserve">.</w:t>
      </w:r>
    </w:p>
    <w:p>
      <w:pPr>
        <w:pStyle w:val="Compact"/>
        <w:numPr>
          <w:ilvl w:val="2"/>
          <w:numId w:val="1044"/>
        </w:numPr>
      </w:pPr>
      <w:r>
        <w:rPr>
          <w:rStyle w:val="VerbatimChar"/>
        </w:rPr>
        <w:t xml:space="preserve">Do not allow drive redirection</w:t>
      </w:r>
      <w:r>
        <w:t xml:space="preserve"> </w:t>
      </w:r>
      <w:r>
        <w:t xml:space="preserve">/ clipboard redirection per policy.</w:t>
      </w:r>
    </w:p>
    <w:p>
      <w:pPr>
        <w:pStyle w:val="Compact"/>
        <w:numPr>
          <w:ilvl w:val="1"/>
          <w:numId w:val="1043"/>
        </w:numPr>
      </w:pPr>
      <w:r>
        <w:rPr>
          <w:b/>
          <w:bCs/>
        </w:rPr>
        <w:t xml:space="preserve">User Configuration → Administrative Templates → Windows Components → Remote Desktop Services → Remote Desktop Session Host → Connection</w:t>
      </w:r>
      <w:r>
        <w:t xml:space="preserve">:</w:t>
      </w:r>
    </w:p>
    <w:p>
      <w:pPr>
        <w:pStyle w:val="Compact"/>
        <w:numPr>
          <w:ilvl w:val="2"/>
          <w:numId w:val="1045"/>
        </w:numPr>
      </w:pPr>
      <w:r>
        <w:rPr>
          <w:rStyle w:val="VerbatimChar"/>
        </w:rPr>
        <w:t xml:space="preserve">Allow users to connect remotely</w:t>
      </w:r>
      <w:r>
        <w:t xml:space="preserve"> </w:t>
      </w:r>
      <w:r>
        <w:t xml:space="preserve">— leave enabled, but enforce NLA (</w:t>
      </w:r>
      <w:r>
        <w:rPr>
          <w:rStyle w:val="VerbatimChar"/>
        </w:rPr>
        <w:t xml:space="preserve">User Authentication for Remote Desktop by requiring user authentication at the RD client</w:t>
      </w:r>
      <w:r>
        <w:t xml:space="preserve">) →</w:t>
      </w:r>
      <w:r>
        <w:t xml:space="preserve"> </w:t>
      </w:r>
      <w:r>
        <w:rPr>
          <w:b/>
          <w:bCs/>
        </w:rPr>
        <w:t xml:space="preserve">Enabled</w:t>
      </w:r>
      <w:r>
        <w:t xml:space="preserve">.</w:t>
      </w:r>
    </w:p>
    <w:p>
      <w:pPr>
        <w:pStyle w:val="Compact"/>
        <w:numPr>
          <w:ilvl w:val="0"/>
          <w:numId w:val="1042"/>
        </w:numPr>
      </w:pPr>
      <w:r>
        <w:rPr>
          <w:b/>
          <w:bCs/>
        </w:rPr>
        <w:t xml:space="preserve">Kerberos delegation / CredSSP configuration</w:t>
      </w:r>
      <w:r>
        <w:t xml:space="preserve"> </w:t>
      </w:r>
      <w:r>
        <w:t xml:space="preserve">(so the jump box SSO ticket is reused):</w:t>
      </w:r>
    </w:p>
    <w:p>
      <w:pPr>
        <w:pStyle w:val="Compact"/>
        <w:numPr>
          <w:ilvl w:val="1"/>
          <w:numId w:val="1046"/>
        </w:numPr>
      </w:pPr>
      <w:r>
        <w:rPr>
          <w:rStyle w:val="VerbatimChar"/>
        </w:rPr>
        <w:t xml:space="preserve">Computer Configuration → Administrative Templates → System → Credentials Delegation</w:t>
      </w:r>
      <w:r>
        <w:t xml:space="preserve">:</w:t>
      </w:r>
    </w:p>
    <w:p>
      <w:pPr>
        <w:pStyle w:val="Compact"/>
        <w:numPr>
          <w:ilvl w:val="2"/>
          <w:numId w:val="1047"/>
        </w:numPr>
      </w:pPr>
      <w:r>
        <w:rPr>
          <w:rStyle w:val="VerbatimChar"/>
        </w:rPr>
        <w:t xml:space="preserve">Allow delegating fresh credentials</w:t>
      </w:r>
      <w:r>
        <w:t xml:space="preserve"> </w:t>
      </w:r>
      <w:r>
        <w:t xml:space="preserve">→</w:t>
      </w:r>
      <w:r>
        <w:t xml:space="preserve"> </w:t>
      </w:r>
      <w:r>
        <w:rPr>
          <w:rStyle w:val="VerbatimChar"/>
        </w:rPr>
        <w:t xml:space="preserve">Enabled</w:t>
      </w:r>
      <w:r>
        <w:t xml:space="preserve"> </w:t>
      </w:r>
      <w:r>
        <w:t xml:space="preserve">→ add</w:t>
      </w:r>
      <w:r>
        <w:t xml:space="preserve"> </w:t>
      </w:r>
      <w:r>
        <w:rPr>
          <w:rStyle w:val="VerbatimChar"/>
        </w:rPr>
        <w:t xml:space="preserve">TERMSRV/&lt;server-fqdn&gt;</w:t>
      </w:r>
      <w:r>
        <w:t xml:space="preserve"> </w:t>
      </w:r>
      <w:r>
        <w:t xml:space="preserve">for each server OU (or use a wildcard GPO:</w:t>
      </w:r>
      <w:r>
        <w:t xml:space="preserve"> </w:t>
      </w:r>
      <w:r>
        <w:rPr>
          <w:rStyle w:val="VerbatimChar"/>
        </w:rPr>
        <w:t xml:space="preserve">TERMSRV/*.&lt;domain&gt;</w:t>
      </w:r>
      <w:r>
        <w:t xml:space="preserve">).</w:t>
      </w:r>
    </w:p>
    <w:p>
      <w:pPr>
        <w:pStyle w:val="Compact"/>
        <w:numPr>
          <w:ilvl w:val="2"/>
          <w:numId w:val="1047"/>
        </w:numPr>
      </w:pPr>
      <w:r>
        <w:rPr>
          <w:rStyle w:val="VerbatimChar"/>
        </w:rPr>
        <w:t xml:space="preserve">Allow delegating fresh credentials with NTLM-only server authentication</w:t>
      </w:r>
      <w:r>
        <w:t xml:space="preserve"> </w:t>
      </w:r>
      <w:r>
        <w:t xml:space="preserve">→</w:t>
      </w:r>
      <w:r>
        <w:t xml:space="preserve"> </w:t>
      </w:r>
      <w:r>
        <w:rPr>
          <w:rStyle w:val="VerbatimChar"/>
        </w:rPr>
        <w:t xml:space="preserve">Disabled</w:t>
      </w:r>
      <w:r>
        <w:t xml:space="preserve"> </w:t>
      </w:r>
      <w:r>
        <w:t xml:space="preserve">(explicitly reject NTLM pass-through).</w:t>
      </w:r>
    </w:p>
    <w:p>
      <w:pPr>
        <w:pStyle w:val="Compact"/>
        <w:numPr>
          <w:ilvl w:val="2"/>
          <w:numId w:val="1047"/>
        </w:numPr>
      </w:pPr>
      <w:r>
        <w:rPr>
          <w:rStyle w:val="VerbatimChar"/>
        </w:rPr>
        <w:t xml:space="preserve">Require Restricted Admin elevation for delegation</w:t>
      </w:r>
      <w:r>
        <w:t xml:space="preserve"> </w:t>
      </w:r>
      <w:r>
        <w:t xml:space="preserve">→</w:t>
      </w:r>
      <w:r>
        <w:t xml:space="preserve"> </w:t>
      </w:r>
      <w:r>
        <w:rPr>
          <w:rStyle w:val="VerbatimChar"/>
        </w:rPr>
        <w:t xml:space="preserve">Enabled</w:t>
      </w:r>
      <w:r>
        <w:t xml:space="preserve">.</w:t>
      </w:r>
    </w:p>
    <w:p>
      <w:pPr>
        <w:pStyle w:val="Compact"/>
        <w:numPr>
          <w:ilvl w:val="0"/>
          <w:numId w:val="1042"/>
        </w:numPr>
      </w:pPr>
      <w:r>
        <w:rPr>
          <w:b/>
          <w:bCs/>
        </w:rPr>
        <w:t xml:space="preserve">Map the Tier-0/Tier-1 AD groups to the local</w:t>
      </w:r>
      <w:r>
        <w:rPr>
          <w:b/>
          <w:bCs/>
        </w:rPr>
        <w:t xml:space="preserve"> </w:t>
      </w:r>
      <w:r>
        <w:rPr>
          <w:b/>
          <w:bCs/>
        </w:rPr>
        <w:t xml:space="preserve">“Remote Desktop Users”</w:t>
      </w:r>
      <w:r>
        <w:rPr>
          <w:b/>
          <w:bCs/>
        </w:rPr>
        <w:t xml:space="preserve"> </w:t>
      </w:r>
      <w:r>
        <w:rPr>
          <w:b/>
          <w:bCs/>
        </w:rPr>
        <w:t xml:space="preserve">group</w:t>
      </w:r>
      <w:r>
        <w:t xml:space="preserve"> </w:t>
      </w:r>
      <w:r>
        <w:t xml:space="preserve">(so</w:t>
      </w:r>
      <w:r>
        <w:t xml:space="preserve"> </w:t>
      </w:r>
      <w:r>
        <w:rPr>
          <w:i/>
          <w:iCs/>
        </w:rPr>
        <w:t xml:space="preserve">no</w:t>
      </w:r>
      <w:r>
        <w:t xml:space="preserve"> </w:t>
      </w:r>
      <w:r>
        <w:t xml:space="preserve">per-server local account is needed — membership + Kerberos does the auth):</w:t>
      </w:r>
    </w:p>
    <w:p>
      <w:pPr>
        <w:pStyle w:val="Compact"/>
        <w:numPr>
          <w:ilvl w:val="1"/>
          <w:numId w:val="1048"/>
        </w:numPr>
      </w:pPr>
      <w:r>
        <w:t xml:space="preserve">GPO:</w:t>
      </w:r>
      <w:r>
        <w:t xml:space="preserve"> </w:t>
      </w:r>
      <w:r>
        <w:rPr>
          <w:rStyle w:val="VerbatimChar"/>
        </w:rPr>
        <w:t xml:space="preserve">Computer Configuration → Preferences → Control Panel Settings → Local Users and Groups</w:t>
      </w:r>
      <w:r>
        <w:t xml:space="preserve">:</w:t>
      </w:r>
    </w:p>
    <w:p>
      <w:pPr>
        <w:pStyle w:val="Compact"/>
        <w:numPr>
          <w:ilvl w:val="2"/>
          <w:numId w:val="1049"/>
        </w:numPr>
      </w:pPr>
      <w:r>
        <w:t xml:space="preserve">Action:</w:t>
      </w:r>
      <w:r>
        <w:t xml:space="preserve"> </w:t>
      </w:r>
      <w:r>
        <w:rPr>
          <w:b/>
          <w:bCs/>
        </w:rPr>
        <w:t xml:space="preserve">Update</w:t>
      </w:r>
      <w:r>
        <w:t xml:space="preserve"> </w:t>
      </w:r>
      <w:r>
        <w:t xml:space="preserve">→ Local group</w:t>
      </w:r>
      <w:r>
        <w:t xml:space="preserve"> </w:t>
      </w:r>
      <w:r>
        <w:rPr>
          <w:b/>
          <w:bCs/>
        </w:rPr>
        <w:t xml:space="preserve">Remote Desktop Users</w:t>
      </w:r>
      <w:r>
        <w:t xml:space="preserve"> </w:t>
      </w:r>
      <w:r>
        <w:t xml:space="preserve">→</w:t>
      </w:r>
      <w:r>
        <w:t xml:space="preserve"> </w:t>
      </w:r>
      <w:r>
        <w:rPr>
          <w:rStyle w:val="VerbatimChar"/>
        </w:rPr>
        <w:t xml:space="preserve">Add: AD group &lt;Domain&gt;\Tier-1-Servers-Admins</w:t>
      </w:r>
      <w:r>
        <w:t xml:space="preserve"> </w:t>
      </w:r>
      <w:r>
        <w:t xml:space="preserve">(remove default</w:t>
      </w:r>
      <w:r>
        <w:t xml:space="preserve"> </w:t>
      </w:r>
      <w:r>
        <w:rPr>
          <w:rStyle w:val="VerbatimChar"/>
        </w:rPr>
        <w:t xml:space="preserve">Administrators</w:t>
      </w:r>
      <w:r>
        <w:t xml:space="preserve"> </w:t>
      </w:r>
      <w:r>
        <w:t xml:space="preserve">to enforce least privilege).</w:t>
      </w:r>
    </w:p>
    <w:p>
      <w:pPr>
        <w:pStyle w:val="Compact"/>
        <w:numPr>
          <w:ilvl w:val="0"/>
          <w:numId w:val="1042"/>
        </w:numPr>
      </w:pPr>
      <w:r>
        <w:rPr>
          <w:b/>
          <w:bCs/>
        </w:rPr>
        <w:t xml:space="preserve">Force SMB/RPC signing &amp; LDAPS</w:t>
      </w:r>
      <w:r>
        <w:t xml:space="preserve"> </w:t>
      </w:r>
      <w:r>
        <w:t xml:space="preserve">on all 50+ servers (audit boundary):</w:t>
      </w:r>
    </w:p>
    <w:p>
      <w:pPr>
        <w:pStyle w:val="Compact"/>
        <w:numPr>
          <w:ilvl w:val="1"/>
          <w:numId w:val="1050"/>
        </w:numPr>
      </w:pPr>
      <w:r>
        <w:rPr>
          <w:rStyle w:val="VerbatimChar"/>
        </w:rPr>
        <w:t xml:space="preserve">Network security: Microsoft network client: Digitally sign communications (always)</w:t>
      </w:r>
      <w:r>
        <w:t xml:space="preserve"> </w:t>
      </w:r>
      <w:r>
        <w:t xml:space="preserve">→</w:t>
      </w:r>
      <w:r>
        <w:t xml:space="preserve"> </w:t>
      </w:r>
      <w:r>
        <w:rPr>
          <w:rStyle w:val="VerbatimChar"/>
        </w:rPr>
        <w:t xml:space="preserve">Enabled</w:t>
      </w:r>
      <w:r>
        <w:t xml:space="preserve">.</w:t>
      </w:r>
    </w:p>
    <w:p>
      <w:pPr>
        <w:pStyle w:val="Compact"/>
        <w:numPr>
          <w:ilvl w:val="1"/>
          <w:numId w:val="1050"/>
        </w:numPr>
      </w:pPr>
      <w:r>
        <w:rPr>
          <w:rStyle w:val="VerbatimChar"/>
        </w:rPr>
        <w:t xml:space="preserve">Domain controller: LDAP server signing requirements</w:t>
      </w:r>
      <w:r>
        <w:t xml:space="preserve"> </w:t>
      </w:r>
      <w:r>
        <w:t xml:space="preserve">→</w:t>
      </w:r>
      <w:r>
        <w:t xml:space="preserve"> </w:t>
      </w:r>
      <w:r>
        <w:rPr>
          <w:rStyle w:val="VerbatimChar"/>
        </w:rPr>
        <w:t xml:space="preserve">Negotiate</w:t>
      </w:r>
      <w:r>
        <w:t xml:space="preserve">.</w:t>
      </w:r>
    </w:p>
    <w:p>
      <w:pPr>
        <w:pStyle w:val="Compact"/>
        <w:numPr>
          <w:ilvl w:val="1"/>
          <w:numId w:val="1050"/>
        </w:numPr>
      </w:pPr>
      <w:r>
        <w:rPr>
          <w:rStyle w:val="VerbatimChar"/>
        </w:rPr>
        <w:t xml:space="preserve">Network security: LDAP client signing requirements</w:t>
      </w:r>
      <w:r>
        <w:t xml:space="preserve"> </w:t>
      </w:r>
      <w:r>
        <w:t xml:space="preserve">→</w:t>
      </w:r>
      <w:r>
        <w:t xml:space="preserve"> </w:t>
      </w:r>
      <w:r>
        <w:rPr>
          <w:rStyle w:val="VerbatimChar"/>
        </w:rPr>
        <w:t xml:space="preserve">Negotiate</w:t>
      </w:r>
      <w:r>
        <w:t xml:space="preserve">.</w:t>
      </w:r>
    </w:p>
    <w:bookmarkEnd w:id="35"/>
    <w:bookmarkEnd w:id="36"/>
    <w:bookmarkStart w:id="37" w:name="sec31"/>
    <w:p>
      <w:pPr>
        <w:pStyle w:val="Heading3"/>
      </w:pPr>
      <w:r>
        <w:t xml:space="preserve">8.4 RDP launch pattern the engineers should use</w:t>
      </w:r>
    </w:p>
    <w:p>
      <w:pPr>
        <w:pStyle w:val="FirstParagraph"/>
      </w:pPr>
      <w:r>
        <w:t xml:space="preserve">Rather than typing credentials at the remote desktop prompt, engineers launch RDP from the</w:t>
      </w:r>
      <w:r>
        <w:t xml:space="preserve"> </w:t>
      </w:r>
      <w:r>
        <w:rPr>
          <w:b/>
          <w:bCs/>
        </w:rPr>
        <w:t xml:space="preserve">Azure AD / Entra-joined jump box</w:t>
      </w:r>
      <w:r>
        <w:t xml:space="preserve"> </w:t>
      </w:r>
      <w:r>
        <w:t xml:space="preserve">using one of:</w:t>
      </w:r>
    </w:p>
    <w:p>
      <w:pPr>
        <w:pStyle w:val="Compact"/>
        <w:numPr>
          <w:ilvl w:val="0"/>
          <w:numId w:val="1051"/>
        </w:numPr>
      </w:pPr>
      <w:r>
        <w:rPr>
          <w:rStyle w:val="VerbatimChar"/>
        </w:rPr>
        <w:t xml:space="preserve">mstsc.exe /v:&lt;server-fqdn&gt;</w:t>
      </w:r>
      <w:r>
        <w:t xml:space="preserve"> </w:t>
      </w:r>
      <w:r>
        <w:t xml:space="preserve">— and</w:t>
      </w:r>
      <w:r>
        <w:t xml:space="preserve"> </w:t>
      </w:r>
      <w:r>
        <w:rPr>
          <w:b/>
          <w:bCs/>
        </w:rPr>
        <w:t xml:space="preserve">at the login prompt</w:t>
      </w:r>
      <w:r>
        <w:t xml:space="preserve">, select</w:t>
      </w:r>
      <w:r>
        <w:t xml:space="preserve"> </w:t>
      </w:r>
      <w:r>
        <w:rPr>
          <w:i/>
          <w:iCs/>
        </w:rPr>
        <w:t xml:space="preserve">“Use my RD Gateway credentials for the remote computer”</w:t>
      </w:r>
      <w:r>
        <w:t xml:space="preserve"> </w:t>
      </w:r>
      <w:r>
        <w:t xml:space="preserve">/</w:t>
      </w:r>
      <w:r>
        <w:t xml:space="preserve"> </w:t>
      </w:r>
      <w:r>
        <w:rPr>
          <w:i/>
          <w:iCs/>
        </w:rPr>
        <w:t xml:space="preserve">“Attempt SSO”</w:t>
      </w:r>
      <w:r>
        <w:t xml:space="preserve">; Windows presents the TGT to the remote server.</w:t>
      </w:r>
    </w:p>
    <w:p>
      <w:pPr>
        <w:pStyle w:val="Compact"/>
        <w:numPr>
          <w:ilvl w:val="0"/>
          <w:numId w:val="1051"/>
        </w:numPr>
      </w:pPr>
      <w:r>
        <w:rPr>
          <w:rStyle w:val="VerbatimChar"/>
        </w:rPr>
        <w:t xml:space="preserve">Enter-PSSession -ComputerName &lt;server&gt;</w:t>
      </w:r>
      <w:r>
        <w:t xml:space="preserve"> </w:t>
      </w:r>
      <w:r>
        <w:t xml:space="preserve">(WinRM over Kerberos) — no second credential.</w:t>
      </w:r>
    </w:p>
    <w:p>
      <w:pPr>
        <w:pStyle w:val="Compact"/>
        <w:numPr>
          <w:ilvl w:val="0"/>
          <w:numId w:val="1051"/>
        </w:numPr>
      </w:pPr>
      <w:r>
        <w:rPr>
          <w:rStyle w:val="VerbatimChar"/>
        </w:rPr>
        <w:t xml:space="preserve">ssh.exe &lt;user&gt;@&lt;server&gt;</w:t>
      </w:r>
      <w:r>
        <w:t xml:space="preserve"> </w:t>
      </w:r>
      <w:r>
        <w:t xml:space="preserve">(if WinOpenSSH + AD integration is enabled) — the local OpenSSH client can forward the GSSAPI/Kerberos ticket.</w:t>
      </w:r>
    </w:p>
    <w:p>
      <w:pPr>
        <w:pStyle w:val="Compact"/>
        <w:numPr>
          <w:ilvl w:val="0"/>
          <w:numId w:val="1051"/>
        </w:numPr>
      </w:pPr>
      <w:r>
        <w:rPr>
          <w:b/>
          <w:bCs/>
        </w:rPr>
        <w:t xml:space="preserve">HPE iLO Remote Console</w:t>
      </w:r>
      <w:r>
        <w:t xml:space="preserve"> </w:t>
      </w:r>
      <w:r>
        <w:t xml:space="preserve">launched</w:t>
      </w:r>
      <w:r>
        <w:t xml:space="preserve"> </w:t>
      </w:r>
      <w:r>
        <w:rPr>
          <w:i/>
          <w:iCs/>
        </w:rPr>
        <w:t xml:space="preserve">through</w:t>
      </w:r>
      <w:r>
        <w:t xml:space="preserve"> </w:t>
      </w:r>
      <w:r>
        <w:t xml:space="preserve">OneView or Nodegrid (Section 6.7) — the console token is brokered from the engineer’s SSO session.</w:t>
      </w:r>
    </w:p>
    <w:p>
      <w:pPr>
        <w:pStyle w:val="FirstParagraph"/>
      </w:pPr>
      <w:r>
        <w:t xml:space="preserve">Because NLA + Restricted Admin + Kerberos SSO are enforced, the engineer authenticates</w:t>
      </w:r>
      <w:r>
        <w:t xml:space="preserve"> </w:t>
      </w:r>
      <w:r>
        <w:rPr>
          <w:b/>
          <w:bCs/>
        </w:rPr>
        <w:t xml:space="preserve">only once per session</w:t>
      </w:r>
      <w:r>
        <w:t xml:space="preserve"> </w:t>
      </w:r>
      <w:r>
        <w:t xml:space="preserve">(at the jump box), and the TGT is silently forwarded to all 50+ servers — eliminating the interactive-password-at-every-server behavior that causes lockout spikes.</w:t>
      </w:r>
    </w:p>
    <w:bookmarkEnd w:id="37"/>
    <w:bookmarkStart w:id="38" w:name="sec32"/>
    <w:p>
      <w:pPr>
        <w:pStyle w:val="Heading3"/>
      </w:pPr>
      <w:r>
        <w:t xml:space="preserve">8.5 MFA scoping (prevent MFA loops / re-authentication storms)</w:t>
      </w:r>
    </w:p>
    <w:p>
      <w:pPr>
        <w:pStyle w:val="FirstParagraph"/>
      </w:pPr>
      <w:r>
        <w:t xml:space="preserve">Ref</w:t>
      </w:r>
      <w:r>
        <w:t xml:space="preserve"> </w:t>
      </w:r>
      <w:hyperlink w:anchor="ref-1">
        <w:r>
          <w:rPr>
            <w:rStyle w:val="Hyperlink"/>
          </w:rPr>
          <w:t xml:space="preserve">1</w:t>
        </w:r>
      </w:hyperlink>
      <w:r>
        <w:t xml:space="preserve">,</w:t>
      </w:r>
      <w:r>
        <w:t xml:space="preserve"> </w:t>
      </w:r>
      <w:hyperlink w:anchor="ref-21">
        <w:r>
          <w:rPr>
            <w:rStyle w:val="Hyperlink"/>
          </w:rPr>
          <w:t xml:space="preserve">21</w:t>
        </w:r>
      </w:hyperlink>
      <w:r>
        <w:t xml:space="preserve">,</w:t>
      </w:r>
      <w:r>
        <w:t xml:space="preserve"> </w:t>
      </w:r>
      <w:hyperlink w:anchor="ref-22">
        <w:r>
          <w:rPr>
            <w:rStyle w:val="Hyperlink"/>
          </w:rPr>
          <w:t xml:space="preserve">22</w:t>
        </w:r>
      </w:hyperlink>
      <w:r>
        <w:t xml:space="preserve">. Place MFA at</w:t>
      </w:r>
      <w:r>
        <w:t xml:space="preserve"> </w:t>
      </w:r>
      <w:r>
        <w:rPr>
          <w:b/>
          <w:bCs/>
        </w:rPr>
        <w:t xml:space="preserve">exactly one</w:t>
      </w:r>
      <w:r>
        <w:t xml:space="preserve"> </w:t>
      </w:r>
      <w:r>
        <w:t xml:space="preserve">control point: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Resource</w:t>
            </w:r>
          </w:p>
        </w:tc>
        <w:tc>
          <w:tcPr/>
          <w:p>
            <w:pPr>
              <w:pStyle w:val="Compact"/>
            </w:pPr>
            <w:r>
              <w:t xml:space="preserve">MFA required?</w:t>
            </w:r>
          </w:p>
        </w:tc>
        <w:tc>
          <w:tcPr/>
          <w:p>
            <w:pPr>
              <w:pStyle w:val="Compact"/>
            </w:pPr>
            <w:r>
              <w:t xml:space="preserve">Mechanism</w:t>
            </w:r>
          </w:p>
        </w:tc>
        <w:tc>
          <w:tcPr/>
          <w:p>
            <w:pPr>
              <w:pStyle w:val="Compact"/>
            </w:pPr>
            <w:r>
              <w:t xml:space="preserve">Reason</w:t>
            </w:r>
          </w:p>
        </w:tc>
      </w:tr>
      <w:tr>
        <w:tc>
          <w:tcPr/>
          <w:p>
            <w:pPr>
              <w:pStyle w:val="Compact"/>
            </w:pPr>
            <w:r>
              <w:t xml:space="preserve">Jump box / Entra-joined workstation (interactive logon)</w:t>
            </w:r>
          </w:p>
        </w:tc>
        <w:tc>
          <w:tcPr/>
          <w:p>
            <w:pPr>
              <w:pStyle w:val="Compact"/>
            </w:pPr>
            <w:r>
              <w:rPr>
                <w:b/>
                <w:bCs/>
              </w:rPr>
              <w:t xml:space="preserve">Yes</w:t>
            </w:r>
            <w:r>
              <w:t xml:space="preserve"> </w:t>
            </w:r>
            <w:r>
              <w:t xml:space="preserve">(Conditional Access)</w:t>
            </w:r>
          </w:p>
        </w:tc>
        <w:tc>
          <w:tcPr/>
          <w:p>
            <w:pPr>
              <w:pStyle w:val="Compact"/>
            </w:pPr>
            <w:r>
              <w:t xml:space="preserve">Azure MFA / FIDO2 security key</w:t>
            </w:r>
          </w:p>
        </w:tc>
        <w:tc>
          <w:tcPr/>
          <w:p>
            <w:pPr>
              <w:pStyle w:val="Compact"/>
            </w:pPr>
            <w:r>
              <w:t xml:space="preserve">First factor — satisfies PSD2 SCA; ticket is issued once</w:t>
            </w:r>
          </w:p>
        </w:tc>
      </w:tr>
      <w:tr>
        <w:tc>
          <w:tcPr/>
          <w:p>
            <w:pPr>
              <w:pStyle w:val="Compact"/>
            </w:pPr>
            <w:r>
              <w:t xml:space="preserve">RDP targets (the 50+ servers)</w:t>
            </w:r>
          </w:p>
        </w:tc>
        <w:tc>
          <w:tcPr/>
          <w:p>
            <w:pPr>
              <w:pStyle w:val="Compact"/>
            </w:pPr>
            <w:r>
              <w:rPr>
                <w:b/>
                <w:bCs/>
              </w:rPr>
              <w:t xml:space="preserve">No</w:t>
            </w:r>
          </w:p>
        </w:tc>
        <w:tc>
          <w:tcPr/>
          <w:p>
            <w:pPr>
              <w:pStyle w:val="Compact"/>
            </w:pPr>
            <w:r>
              <w:t xml:space="preserve">Kerberos TGT reuse</w:t>
            </w:r>
          </w:p>
        </w:tc>
        <w:tc>
          <w:tcPr/>
          <w:p>
            <w:pPr>
              <w:pStyle w:val="Compact"/>
            </w:pPr>
            <w:r>
              <w:t xml:space="preserve">Re-prompting would re-trigger 50 MFA prompts / lockout risk</w:t>
            </w:r>
          </w:p>
        </w:tc>
      </w:tr>
      <w:tr>
        <w:tc>
          <w:tcPr/>
          <w:p>
            <w:pPr>
              <w:pStyle w:val="Compact"/>
            </w:pPr>
            <w:r>
              <w:t xml:space="preserve">Nodegrid SAML login</w:t>
            </w:r>
          </w:p>
        </w:tc>
        <w:tc>
          <w:tcPr/>
          <w:p>
            <w:pPr>
              <w:pStyle w:val="Compact"/>
            </w:pPr>
            <w:r>
              <w:rPr>
                <w:b/>
                <w:bCs/>
              </w:rPr>
              <w:t xml:space="preserve">Yes</w:t>
            </w:r>
          </w:p>
        </w:tc>
        <w:tc>
          <w:tcPr/>
          <w:p>
            <w:pPr>
              <w:pStyle w:val="Compact"/>
            </w:pPr>
            <w:r>
              <w:t xml:space="preserve">Azure AD SAML + Conditional Access</w:t>
            </w:r>
          </w:p>
        </w:tc>
        <w:tc>
          <w:tcPr/>
          <w:p>
            <w:pPr>
              <w:pStyle w:val="Compact"/>
            </w:pPr>
            <w:r>
              <w:t xml:space="preserve">Physical/serial boundary — needs SCA per DORA</w:t>
            </w:r>
          </w:p>
        </w:tc>
      </w:tr>
      <w:tr>
        <w:tc>
          <w:tcPr/>
          <w:p>
            <w:pPr>
              <w:pStyle w:val="Compact"/>
            </w:pPr>
            <w:r>
              <w:t xml:space="preserve">iLO Remote Console (via OneView)</w:t>
            </w:r>
          </w:p>
        </w:tc>
        <w:tc>
          <w:tcPr/>
          <w:p>
            <w:pPr>
              <w:pStyle w:val="Compact"/>
            </w:pPr>
            <w:r>
              <w:rPr>
                <w:b/>
                <w:bCs/>
              </w:rPr>
              <w:t xml:space="preserve">No</w:t>
            </w:r>
            <w:r>
              <w:t xml:space="preserve"> </w:t>
            </w:r>
            <w:r>
              <w:t xml:space="preserve">(inherits OneView TGT)</w:t>
            </w:r>
          </w:p>
        </w:tc>
        <w:tc>
          <w:tcPr/>
          <w:p>
            <w:pPr>
              <w:pStyle w:val="Compact"/>
            </w:pPr>
            <w:r>
              <w:t xml:space="preserve">OneView brokered token</w:t>
            </w:r>
          </w:p>
        </w:tc>
        <w:tc>
          <w:tcPr/>
          <w:p>
            <w:pPr>
              <w:pStyle w:val="Compact"/>
            </w:pPr>
            <w:r>
              <w:t xml:space="preserve">OneView already proved identity</w:t>
            </w:r>
          </w:p>
        </w:tc>
      </w:tr>
    </w:tbl>
    <w:p>
      <w:pPr>
        <w:pStyle w:val="BodyText"/>
      </w:pPr>
      <w:r>
        <w:t xml:space="preserve">This single-MFA-entry model is what collapses the 50+ daily logins into one, removing the lockout trigger.</w:t>
      </w:r>
    </w:p>
    <w:p>
      <w:r>
        <w:pict>
          <v:rect style="width:0;height:1.5pt" o:hralign="center" o:hrstd="t" o:hr="t"/>
        </w:pict>
      </w:r>
    </w:p>
    <w:bookmarkEnd w:id="38"/>
    <w:bookmarkEnd w:id="39"/>
    <w:bookmarkStart w:id="40" w:name="sec33"/>
    <w:p>
      <w:pPr>
        <w:pStyle w:val="Heading2"/>
      </w:pPr>
      <w:r>
        <w:t xml:space="preserve">Core Security Architecture Matrix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Auth Protocol</w:t>
            </w:r>
          </w:p>
        </w:tc>
        <w:tc>
          <w:tcPr/>
          <w:p>
            <w:pPr>
              <w:pStyle w:val="Compact"/>
            </w:pPr>
            <w:r>
              <w:t xml:space="preserve">Target Mapping Entity</w:t>
            </w:r>
          </w:p>
        </w:tc>
        <w:tc>
          <w:tcPr/>
          <w:p>
            <w:pPr>
              <w:pStyle w:val="Compact"/>
            </w:pPr>
            <w:r>
              <w:t xml:space="preserve">Banking Regulation / Compliance Context</w:t>
            </w:r>
          </w:p>
        </w:tc>
      </w:tr>
      <w:tr>
        <w:tc>
          <w:tcPr/>
          <w:p>
            <w:pPr>
              <w:pStyle w:val="Compact"/>
            </w:pPr>
            <w:r>
              <w:t xml:space="preserve">Windows Net / AD</w:t>
            </w:r>
          </w:p>
        </w:tc>
        <w:tc>
          <w:tcPr/>
          <w:p>
            <w:pPr>
              <w:pStyle w:val="Compact"/>
            </w:pPr>
            <w:r>
              <w:t xml:space="preserve">Kerberos / SAML 2.0</w:t>
            </w:r>
          </w:p>
        </w:tc>
        <w:tc>
          <w:tcPr/>
          <w:p>
            <w:pPr>
              <w:pStyle w:val="Compact"/>
            </w:pPr>
            <w:r>
              <w:t xml:space="preserve">Central Identity Store</w:t>
            </w:r>
          </w:p>
        </w:tc>
        <w:tc>
          <w:tcPr/>
          <w:p>
            <w:pPr>
              <w:pStyle w:val="Compact"/>
            </w:pPr>
            <w:r>
              <w:t xml:space="preserve">Centralized Audit Logging (GDPR / DORA)</w:t>
            </w:r>
          </w:p>
        </w:tc>
      </w:tr>
      <w:tr>
        <w:tc>
          <w:tcPr/>
          <w:p>
            <w:pPr>
              <w:pStyle w:val="Compact"/>
            </w:pPr>
            <w:r>
              <w:t xml:space="preserve">HPE iLO</w:t>
            </w:r>
          </w:p>
        </w:tc>
        <w:tc>
          <w:tcPr/>
          <w:p>
            <w:pPr>
              <w:pStyle w:val="Compact"/>
            </w:pPr>
            <w:r>
              <w:t xml:space="preserve">LDAPS / Trust-by-Cert</w:t>
            </w:r>
          </w:p>
        </w:tc>
        <w:tc>
          <w:tcPr/>
          <w:p>
            <w:pPr>
              <w:pStyle w:val="Compact"/>
            </w:pPr>
            <w:r>
              <w:t xml:space="preserve">AD Tier-0 Groups</w:t>
            </w:r>
          </w:p>
        </w:tc>
        <w:tc>
          <w:tcPr/>
          <w:p>
            <w:pPr>
              <w:pStyle w:val="Compact"/>
            </w:pPr>
            <w:r>
              <w:t xml:space="preserve">Silicon Root of Trust &amp; Tamper-proof logging</w:t>
            </w:r>
          </w:p>
        </w:tc>
      </w:tr>
      <w:tr>
        <w:tc>
          <w:tcPr/>
          <w:p>
            <w:pPr>
              <w:pStyle w:val="Compact"/>
            </w:pPr>
            <w:r>
              <w:t xml:space="preserve">Redfish API</w:t>
            </w:r>
          </w:p>
        </w:tc>
        <w:tc>
          <w:tcPr/>
          <w:p>
            <w:pPr>
              <w:pStyle w:val="Compact"/>
            </w:pPr>
            <w:r>
              <w:t xml:space="preserve">HTTPS Session Tokens</w:t>
            </w:r>
          </w:p>
        </w:tc>
        <w:tc>
          <w:tcPr/>
          <w:p>
            <w:pPr>
              <w:pStyle w:val="Compact"/>
            </w:pPr>
            <w:r>
              <w:t xml:space="preserve">Active Directory User</w:t>
            </w:r>
          </w:p>
        </w:tc>
        <w:tc>
          <w:tcPr/>
          <w:p>
            <w:pPr>
              <w:pStyle w:val="Compact"/>
            </w:pPr>
            <w:r>
              <w:t xml:space="preserve">Micro-segmentation &amp; Secure Automated Scripting</w:t>
            </w:r>
          </w:p>
        </w:tc>
      </w:tr>
      <w:tr>
        <w:tc>
          <w:tcPr/>
          <w:p>
            <w:pPr>
              <w:pStyle w:val="Compact"/>
            </w:pPr>
            <w:r>
              <w:t xml:space="preserve">ZPE Nodegrid</w:t>
            </w:r>
          </w:p>
        </w:tc>
        <w:tc>
          <w:tcPr/>
          <w:p>
            <w:pPr>
              <w:pStyle w:val="Compact"/>
            </w:pPr>
            <w:r>
              <w:t xml:space="preserve">SAML 2.0 / IdP Integration</w:t>
            </w:r>
          </w:p>
        </w:tc>
        <w:tc>
          <w:tcPr/>
          <w:p>
            <w:pPr>
              <w:pStyle w:val="Compact"/>
            </w:pPr>
            <w:r>
              <w:t xml:space="preserve">Azure AD Claims / Groups</w:t>
            </w:r>
          </w:p>
        </w:tc>
        <w:tc>
          <w:tcPr/>
          <w:p>
            <w:pPr>
              <w:pStyle w:val="Compact"/>
            </w:pPr>
            <w:r>
              <w:t xml:space="preserve">Strict MFA at the physical/serial boundary</w:t>
            </w:r>
          </w:p>
        </w:tc>
      </w:tr>
      <w:tr>
        <w:tc>
          <w:tcPr/>
          <w:p>
            <w:pPr>
              <w:pStyle w:val="Compact"/>
            </w:pPr>
            <w:r>
              <w:t xml:space="preserve">HPE OneView</w:t>
            </w:r>
          </w:p>
        </w:tc>
        <w:tc>
          <w:tcPr/>
          <w:p>
            <w:pPr>
              <w:pStyle w:val="Compact"/>
            </w:pPr>
            <w:r>
              <w:t xml:space="preserve">Directory Login Domain</w:t>
            </w:r>
          </w:p>
        </w:tc>
        <w:tc>
          <w:tcPr/>
          <w:p>
            <w:pPr>
              <w:pStyle w:val="Compact"/>
            </w:pPr>
            <w:r>
              <w:t xml:space="preserve">Enterprise AD Groups</w:t>
            </w:r>
          </w:p>
        </w:tc>
        <w:tc>
          <w:tcPr/>
          <w:p>
            <w:pPr>
              <w:pStyle w:val="Compact"/>
            </w:pPr>
            <w:r>
              <w:t xml:space="preserve">Single Point of Control for Compute Provisioning</w:t>
            </w:r>
          </w:p>
        </w:tc>
      </w:tr>
      <w:tr>
        <w:tc>
          <w:tcPr/>
          <w:p>
            <w:pPr>
              <w:pStyle w:val="Compact"/>
            </w:pPr>
            <w:r>
              <w:t xml:space="preserve">SCOM &amp; MCM</w:t>
            </w:r>
          </w:p>
        </w:tc>
        <w:tc>
          <w:tcPr/>
          <w:p>
            <w:pPr>
              <w:pStyle w:val="Compact"/>
            </w:pPr>
            <w:r>
              <w:t xml:space="preserve">Native Kerberos</w:t>
            </w:r>
          </w:p>
        </w:tc>
        <w:tc>
          <w:tcPr/>
          <w:p>
            <w:pPr>
              <w:pStyle w:val="Compact"/>
            </w:pPr>
            <w:r>
              <w:t xml:space="preserve">Windows Security Groups</w:t>
            </w:r>
          </w:p>
        </w:tc>
        <w:tc>
          <w:tcPr/>
          <w:p>
            <w:pPr>
              <w:pStyle w:val="Compact"/>
            </w:pPr>
            <w:r>
              <w:t xml:space="preserve">Least-Privilege operational monitoring &amp; patching</w:t>
            </w:r>
          </w:p>
        </w:tc>
      </w:tr>
    </w:tbl>
    <w:bookmarkEnd w:id="40"/>
    <w:bookmarkStart w:id="85" w:name="sec34"/>
    <w:p>
      <w:pPr>
        <w:pStyle w:val="Heading2"/>
      </w:pPr>
      <w:r>
        <w:t xml:space="preserve">References</w:t>
      </w:r>
    </w:p>
    <w:bookmarkStart w:id="42" w:name="ref-1"/>
    <w:p>
      <w:pPr>
        <w:pStyle w:val="FirstParagraph"/>
      </w:pPr>
      <w:r>
        <w:t xml:space="preserve">[1]</w:t>
      </w:r>
      <w:r>
        <w:t xml:space="preserve"> </w:t>
      </w:r>
      <w:hyperlink r:id="rId41">
        <w:r>
          <w:rPr>
            <w:rStyle w:val="Hyperlink"/>
          </w:rPr>
          <w:t xml:space="preserve">https://www.pingidentity.com</w:t>
        </w:r>
      </w:hyperlink>
    </w:p>
    <w:bookmarkEnd w:id="42"/>
    <w:bookmarkStart w:id="44" w:name="ref-2"/>
    <w:p>
      <w:pPr>
        <w:pStyle w:val="BodyText"/>
      </w:pPr>
      <w:r>
        <w:t xml:space="preserve">[2]</w:t>
      </w:r>
      <w:r>
        <w:t xml:space="preserve"> </w:t>
      </w:r>
      <w:hyperlink r:id="rId43">
        <w:r>
          <w:rPr>
            <w:rStyle w:val="Hyperlink"/>
          </w:rPr>
          <w:t xml:space="preserve">https://docs.zpesystems.com</w:t>
        </w:r>
      </w:hyperlink>
    </w:p>
    <w:bookmarkEnd w:id="44"/>
    <w:bookmarkStart w:id="46" w:name="ref-3"/>
    <w:p>
      <w:pPr>
        <w:pStyle w:val="BodyText"/>
      </w:pPr>
      <w:r>
        <w:t xml:space="preserve">[3]</w:t>
      </w:r>
      <w:r>
        <w:t xml:space="preserve"> </w:t>
      </w:r>
      <w:hyperlink r:id="rId45">
        <w:r>
          <w:rPr>
            <w:rStyle w:val="Hyperlink"/>
          </w:rPr>
          <w:t xml:space="preserve">https://support.hpe.com</w:t>
        </w:r>
      </w:hyperlink>
    </w:p>
    <w:bookmarkEnd w:id="46"/>
    <w:bookmarkStart w:id="48" w:name="ref-4"/>
    <w:p>
      <w:pPr>
        <w:pStyle w:val="BodyText"/>
      </w:pPr>
      <w:r>
        <w:t xml:space="preserve">[4]</w:t>
      </w:r>
      <w:r>
        <w:t xml:space="preserve"> </w:t>
      </w:r>
      <w:hyperlink r:id="rId47">
        <w:r>
          <w:rPr>
            <w:rStyle w:val="Hyperlink"/>
          </w:rPr>
          <w:t xml:space="preserve">https://www.tenable.com</w:t>
        </w:r>
      </w:hyperlink>
    </w:p>
    <w:bookmarkEnd w:id="48"/>
    <w:bookmarkStart w:id="50" w:name="ref-5"/>
    <w:p>
      <w:pPr>
        <w:pStyle w:val="BodyText"/>
      </w:pPr>
      <w:r>
        <w:t xml:space="preserve">[5]</w:t>
      </w:r>
      <w:r>
        <w:t xml:space="preserve"> </w:t>
      </w:r>
      <w:hyperlink r:id="rId49">
        <w:r>
          <w:rPr>
            <w:rStyle w:val="Hyperlink"/>
          </w:rPr>
          <w:t xml:space="preserve">https://redfish.redoc.ly</w:t>
        </w:r>
      </w:hyperlink>
    </w:p>
    <w:bookmarkEnd w:id="50"/>
    <w:bookmarkStart w:id="52" w:name="ref-6"/>
    <w:p>
      <w:pPr>
        <w:pStyle w:val="BodyText"/>
      </w:pPr>
      <w:r>
        <w:t xml:space="preserve">[6]</w:t>
      </w:r>
      <w:r>
        <w:t xml:space="preserve"> </w:t>
      </w:r>
      <w:hyperlink r:id="rId51">
        <w:r>
          <w:rPr>
            <w:rStyle w:val="Hyperlink"/>
          </w:rPr>
          <w:t xml:space="preserve">https://support.hpe.com</w:t>
        </w:r>
      </w:hyperlink>
    </w:p>
    <w:bookmarkEnd w:id="52"/>
    <w:bookmarkStart w:id="54" w:name="ref-7"/>
    <w:p>
      <w:pPr>
        <w:pStyle w:val="BodyText"/>
      </w:pPr>
      <w:r>
        <w:t xml:space="preserve">[7]</w:t>
      </w:r>
      <w:r>
        <w:t xml:space="preserve"> </w:t>
      </w:r>
      <w:hyperlink r:id="rId53">
        <w:r>
          <w:rPr>
            <w:rStyle w:val="Hyperlink"/>
          </w:rPr>
          <w:t xml:space="preserve">https://support.hpe.com</w:t>
        </w:r>
      </w:hyperlink>
    </w:p>
    <w:bookmarkEnd w:id="54"/>
    <w:bookmarkStart w:id="56" w:name="ref-8"/>
    <w:p>
      <w:pPr>
        <w:pStyle w:val="BodyText"/>
      </w:pPr>
      <w:r>
        <w:t xml:space="preserve">[8]</w:t>
      </w:r>
      <w:r>
        <w:t xml:space="preserve"> </w:t>
      </w:r>
      <w:hyperlink r:id="rId55">
        <w:r>
          <w:rPr>
            <w:rStyle w:val="Hyperlink"/>
          </w:rPr>
          <w:t xml:space="preserve">https://developer.hpe.com</w:t>
        </w:r>
      </w:hyperlink>
    </w:p>
    <w:bookmarkEnd w:id="56"/>
    <w:bookmarkStart w:id="58" w:name="ref-9"/>
    <w:p>
      <w:pPr>
        <w:pStyle w:val="BodyText"/>
      </w:pPr>
      <w:r>
        <w:t xml:space="preserve">[9]</w:t>
      </w:r>
      <w:r>
        <w:t xml:space="preserve"> </w:t>
      </w:r>
      <w:hyperlink r:id="rId57">
        <w:r>
          <w:rPr>
            <w:rStyle w:val="Hyperlink"/>
          </w:rPr>
          <w:t xml:space="preserve">https://servermanagementportal.ext.hpe.com</w:t>
        </w:r>
      </w:hyperlink>
    </w:p>
    <w:bookmarkEnd w:id="58"/>
    <w:bookmarkStart w:id="60" w:name="ref-10"/>
    <w:p>
      <w:pPr>
        <w:pStyle w:val="BodyText"/>
      </w:pPr>
      <w:r>
        <w:t xml:space="preserve">[10]</w:t>
      </w:r>
      <w:r>
        <w:t xml:space="preserve"> </w:t>
      </w:r>
      <w:hyperlink r:id="rId59">
        <w:r>
          <w:rPr>
            <w:rStyle w:val="Hyperlink"/>
          </w:rPr>
          <w:t xml:space="preserve">https://servermanagementportal.ext.hpe.com</w:t>
        </w:r>
      </w:hyperlink>
    </w:p>
    <w:bookmarkEnd w:id="60"/>
    <w:bookmarkStart w:id="62" w:name="ref-11"/>
    <w:p>
      <w:pPr>
        <w:pStyle w:val="BodyText"/>
      </w:pPr>
      <w:r>
        <w:t xml:space="preserve">[11]</w:t>
      </w:r>
      <w:r>
        <w:t xml:space="preserve"> </w:t>
      </w:r>
      <w:hyperlink r:id="rId61">
        <w:r>
          <w:rPr>
            <w:rStyle w:val="Hyperlink"/>
          </w:rPr>
          <w:t xml:space="preserve">https://servermanagementportal.ext.hpe.com</w:t>
        </w:r>
      </w:hyperlink>
    </w:p>
    <w:bookmarkEnd w:id="62"/>
    <w:bookmarkStart w:id="64" w:name="ref-12"/>
    <w:p>
      <w:pPr>
        <w:pStyle w:val="BodyText"/>
      </w:pPr>
      <w:r>
        <w:t xml:space="preserve">[12]</w:t>
      </w:r>
      <w:r>
        <w:t xml:space="preserve"> </w:t>
      </w:r>
      <w:hyperlink r:id="rId63">
        <w:r>
          <w:rPr>
            <w:rStyle w:val="Hyperlink"/>
          </w:rPr>
          <w:t xml:space="preserve">https://support.zpesystems.com</w:t>
        </w:r>
      </w:hyperlink>
    </w:p>
    <w:bookmarkEnd w:id="64"/>
    <w:bookmarkStart w:id="66" w:name="ref-13"/>
    <w:p>
      <w:pPr>
        <w:pStyle w:val="BodyText"/>
      </w:pPr>
      <w:r>
        <w:t xml:space="preserve">[13]</w:t>
      </w:r>
      <w:r>
        <w:t xml:space="preserve"> </w:t>
      </w:r>
      <w:hyperlink r:id="rId65">
        <w:r>
          <w:rPr>
            <w:rStyle w:val="Hyperlink"/>
          </w:rPr>
          <w:t xml:space="preserve">https://docs.zpesystems.com</w:t>
        </w:r>
      </w:hyperlink>
    </w:p>
    <w:bookmarkEnd w:id="66"/>
    <w:bookmarkStart w:id="68" w:name="ref-14"/>
    <w:p>
      <w:pPr>
        <w:pStyle w:val="BodyText"/>
      </w:pPr>
      <w:r>
        <w:t xml:space="preserve">[14]</w:t>
      </w:r>
      <w:r>
        <w:t xml:space="preserve"> </w:t>
      </w:r>
      <w:hyperlink r:id="rId67">
        <w:r>
          <w:rPr>
            <w:rStyle w:val="Hyperlink"/>
          </w:rPr>
          <w:t xml:space="preserve">https://docs.zpesystems.com</w:t>
        </w:r>
      </w:hyperlink>
    </w:p>
    <w:bookmarkEnd w:id="68"/>
    <w:bookmarkStart w:id="70" w:name="ref-15"/>
    <w:p>
      <w:pPr>
        <w:pStyle w:val="BodyText"/>
      </w:pPr>
      <w:r>
        <w:t xml:space="preserve">[15]</w:t>
      </w:r>
      <w:r>
        <w:t xml:space="preserve"> </w:t>
      </w:r>
      <w:hyperlink r:id="rId69">
        <w:r>
          <w:rPr>
            <w:rStyle w:val="Hyperlink"/>
          </w:rPr>
          <w:t xml:space="preserve">https://zpesystems.com</w:t>
        </w:r>
      </w:hyperlink>
    </w:p>
    <w:bookmarkEnd w:id="70"/>
    <w:bookmarkStart w:id="72" w:name="ref-16"/>
    <w:p>
      <w:pPr>
        <w:pStyle w:val="BodyText"/>
      </w:pPr>
      <w:r>
        <w:t xml:space="preserve">[16]</w:t>
      </w:r>
      <w:r>
        <w:t xml:space="preserve"> </w:t>
      </w:r>
      <w:hyperlink r:id="rId71">
        <w:r>
          <w:rPr>
            <w:rStyle w:val="Hyperlink"/>
          </w:rPr>
          <w:t xml:space="preserve">https://www.youtube.com</w:t>
        </w:r>
      </w:hyperlink>
    </w:p>
    <w:bookmarkEnd w:id="72"/>
    <w:bookmarkStart w:id="74" w:name="ref-17"/>
    <w:p>
      <w:pPr>
        <w:pStyle w:val="BodyText"/>
      </w:pPr>
      <w:r>
        <w:t xml:space="preserve">[17]</w:t>
      </w:r>
      <w:r>
        <w:t xml:space="preserve"> </w:t>
      </w:r>
      <w:hyperlink r:id="rId73">
        <w:r>
          <w:rPr>
            <w:rStyle w:val="Hyperlink"/>
          </w:rPr>
          <w:t xml:space="preserve">https://docs.zpesystems.com</w:t>
        </w:r>
      </w:hyperlink>
    </w:p>
    <w:bookmarkEnd w:id="74"/>
    <w:bookmarkStart w:id="76" w:name="ref-18"/>
    <w:p>
      <w:pPr>
        <w:pStyle w:val="BodyText"/>
      </w:pPr>
      <w:r>
        <w:t xml:space="preserve">[18]</w:t>
      </w:r>
      <w:r>
        <w:t xml:space="preserve"> </w:t>
      </w:r>
      <w:hyperlink r:id="rId75">
        <w:r>
          <w:rPr>
            <w:rStyle w:val="Hyperlink"/>
          </w:rPr>
          <w:t xml:space="preserve">https://support.hpe.com</w:t>
        </w:r>
      </w:hyperlink>
    </w:p>
    <w:bookmarkEnd w:id="76"/>
    <w:bookmarkStart w:id="78" w:name="ref-19"/>
    <w:p>
      <w:pPr>
        <w:pStyle w:val="BodyText"/>
      </w:pPr>
      <w:r>
        <w:t xml:space="preserve">[19]</w:t>
      </w:r>
      <w:r>
        <w:t xml:space="preserve"> </w:t>
      </w:r>
      <w:hyperlink r:id="rId77">
        <w:r>
          <w:rPr>
            <w:rStyle w:val="Hyperlink"/>
          </w:rPr>
          <w:t xml:space="preserve">https://support.hpe.com</w:t>
        </w:r>
      </w:hyperlink>
    </w:p>
    <w:bookmarkEnd w:id="78"/>
    <w:bookmarkStart w:id="80" w:name="ref-20"/>
    <w:p>
      <w:pPr>
        <w:pStyle w:val="BodyText"/>
      </w:pPr>
      <w:r>
        <w:t xml:space="preserve">[20]</w:t>
      </w:r>
      <w:r>
        <w:t xml:space="preserve"> </w:t>
      </w:r>
      <w:hyperlink r:id="rId79">
        <w:r>
          <w:rPr>
            <w:rStyle w:val="Hyperlink"/>
          </w:rPr>
          <w:t xml:space="preserve">https://support.hpe.com</w:t>
        </w:r>
      </w:hyperlink>
    </w:p>
    <w:bookmarkEnd w:id="80"/>
    <w:bookmarkStart w:id="82" w:name="ref-21"/>
    <w:p>
      <w:pPr>
        <w:pStyle w:val="BodyText"/>
      </w:pPr>
      <w:r>
        <w:t xml:space="preserve">[21]</w:t>
      </w:r>
      <w:r>
        <w:t xml:space="preserve"> </w:t>
      </w:r>
      <w:hyperlink r:id="rId81">
        <w:r>
          <w:rPr>
            <w:rStyle w:val="Hyperlink"/>
          </w:rPr>
          <w:t xml:space="preserve">https://community.hpe.com</w:t>
        </w:r>
      </w:hyperlink>
    </w:p>
    <w:bookmarkEnd w:id="82"/>
    <w:bookmarkStart w:id="84" w:name="ref-22"/>
    <w:p>
      <w:pPr>
        <w:pStyle w:val="BodyText"/>
      </w:pPr>
      <w:r>
        <w:t xml:space="preserve">[22]</w:t>
      </w:r>
      <w:r>
        <w:t xml:space="preserve"> </w:t>
      </w:r>
      <w:hyperlink r:id="rId83">
        <w:r>
          <w:rPr>
            <w:rStyle w:val="Hyperlink"/>
          </w:rPr>
          <w:t xml:space="preserve">https://community.hpe.com</w:t>
        </w:r>
      </w:hyperlink>
    </w:p>
    <w:bookmarkEnd w:id="84"/>
    <w:bookmarkEnd w:id="85"/>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81" Target="https://community.hpe.com/t5/hpe-oneview/mapping-ad-group-to-role-mapping-with-rest-api/td-p/7033253" TargetMode="External" /><Relationship Type="http://schemas.openxmlformats.org/officeDocument/2006/relationships/hyperlink" Id="rId83" Target="https://community.hpe.com/t5/hpe-synergy/oneview-sso-to-ilo-scripting-with-python/td-p/7068401" TargetMode="External" /><Relationship Type="http://schemas.openxmlformats.org/officeDocument/2006/relationships/hyperlink" Id="rId55" Target="https://developer.hpe.com/blog/getting-started-with-ilo-restful-api-redfish-api-conformance/" TargetMode="External" /><Relationship Type="http://schemas.openxmlformats.org/officeDocument/2006/relationships/hyperlink" Id="rId43" Target="https://docs.zpesystems.com/docs/method-ldap-or-ad" TargetMode="External" /><Relationship Type="http://schemas.openxmlformats.org/officeDocument/2006/relationships/hyperlink" Id="rId67" Target="https://docs.zpesystems.com/docs/sso-sub-tab" TargetMode="External" /><Relationship Type="http://schemas.openxmlformats.org/officeDocument/2006/relationships/hyperlink" Id="rId65" Target="https://docs.zpesystems.com/zpe-cloud/docs/configure-sso-with-azure-ad" TargetMode="External" /><Relationship Type="http://schemas.openxmlformats.org/officeDocument/2006/relationships/hyperlink" Id="rId73" Target="https://docs.zpesystems.com/zpe-cloud/docs/sso-tab" TargetMode="External" /><Relationship Type="http://schemas.openxmlformats.org/officeDocument/2006/relationships/hyperlink" Id="rId49" Target="https://redfish.redoc.ly/docs/redfishservices/ilos/ilo5/ilo5_278/ilo5_hpe_resourcedefns278/" TargetMode="External" /><Relationship Type="http://schemas.openxmlformats.org/officeDocument/2006/relationships/hyperlink" Id="rId61" Target="https://servermanagementportal.ext.hpe.com/docs" TargetMode="External" /><Relationship Type="http://schemas.openxmlformats.org/officeDocument/2006/relationships/hyperlink" Id="rId57" Target="https://servermanagementportal.ext.hpe.com/docs/concepts" TargetMode="External" /><Relationship Type="http://schemas.openxmlformats.org/officeDocument/2006/relationships/hyperlink" Id="rId59" Target="https://servermanagementportal.ext.hpe.com/docs/redfishservices/ilos/supplementdocuments/managingusers" TargetMode="External" /><Relationship Type="http://schemas.openxmlformats.org/officeDocument/2006/relationships/hyperlink" Id="rId45" Target="https://support.hpe.com/hpesc/public/docDisplay?docId=a00018320en_us&amp;page=GUID-966B4429-96E8-47A3-87AD-1DBCD0516E84.html&amp;docLocale=en_US" TargetMode="External" /><Relationship Type="http://schemas.openxmlformats.org/officeDocument/2006/relationships/hyperlink" Id="rId51" Target="https://support.hpe.com/hpesc/public/docDisplay?docId=sd00002198en_us&amp;page=GUID-E719CD70-69E4-4E2A-B8E1-EA6A80D55E0D.html&amp;docLocale=en_US" TargetMode="External" /><Relationship Type="http://schemas.openxmlformats.org/officeDocument/2006/relationships/hyperlink" Id="rId77" Target="https://support.hpe.com/hpesc/public/docDisplay?docId=sd00003499en_us&amp;page=GUID-D7147C7F-2016-0901-066E-0000000032EE.html&amp;docLocale=en_US" TargetMode="External" /><Relationship Type="http://schemas.openxmlformats.org/officeDocument/2006/relationships/hyperlink" Id="rId79" Target="https://support.hpe.com/hpesc/public/docDisplay?docId=sd00003904en_us&amp;page=GUID-D7147C7F-2016-0901-066E-0000000047C0.html&amp;docLocale=en_US" TargetMode="External" /><Relationship Type="http://schemas.openxmlformats.org/officeDocument/2006/relationships/hyperlink" Id="rId53" Target="https://support.hpe.com/hpesc/public/docDisplay?docId=sd00005250en_us&amp;page=s_security-mapping-roles.html&amp;docLocale=en_US" TargetMode="External" /><Relationship Type="http://schemas.openxmlformats.org/officeDocument/2006/relationships/hyperlink" Id="rId75" Target="https://support.hpe.com/hpesc/public/docDisplay?docId=sd00006049en_us&amp;page=s_server-hardware-mgmt-effects.html&amp;docLocale=en_US" TargetMode="External" /><Relationship Type="http://schemas.openxmlformats.org/officeDocument/2006/relationships/hyperlink" Id="rId63" Target="https://support.zpesystems.com/portal/en/kb/articles/how-to-configure-single-sign-on-authentication-in-nodegrid-using-duo" TargetMode="External" /><Relationship Type="http://schemas.openxmlformats.org/officeDocument/2006/relationships/hyperlink" Id="rId41" Target="https://www.pingidentity.com/en/resources/blog/post/the-scoop-on-strong-customer-authentication-sca.html" TargetMode="External" /><Relationship Type="http://schemas.openxmlformats.org/officeDocument/2006/relationships/hyperlink" Id="rId47" Target="https://www.tenable.com/plugins/nessus/72877" TargetMode="External" /><Relationship Type="http://schemas.openxmlformats.org/officeDocument/2006/relationships/hyperlink" Id="rId71" Target="https://www.youtube.com/watch?v=naMajDEJmLU" TargetMode="External" /><Relationship Type="http://schemas.openxmlformats.org/officeDocument/2006/relationships/hyperlink" Id="rId69" Target="https://zpesystems.com/company/single-sign-on-with-nodegrid/" TargetMode="External" /></Relationships>
</file>

<file path=word/_rels/footnotes.xml.rels><?xml version="1.0" encoding="UTF-8"?><Relationships xmlns="http://schemas.openxmlformats.org/package/2006/relationships"><Relationship Type="http://schemas.openxmlformats.org/officeDocument/2006/relationships/hyperlink" Id="rId81" Target="https://community.hpe.com/t5/hpe-oneview/mapping-ad-group-to-role-mapping-with-rest-api/td-p/7033253" TargetMode="External" /><Relationship Type="http://schemas.openxmlformats.org/officeDocument/2006/relationships/hyperlink" Id="rId83" Target="https://community.hpe.com/t5/hpe-synergy/oneview-sso-to-ilo-scripting-with-python/td-p/7068401" TargetMode="External" /><Relationship Type="http://schemas.openxmlformats.org/officeDocument/2006/relationships/hyperlink" Id="rId55" Target="https://developer.hpe.com/blog/getting-started-with-ilo-restful-api-redfish-api-conformance/" TargetMode="External" /><Relationship Type="http://schemas.openxmlformats.org/officeDocument/2006/relationships/hyperlink" Id="rId43" Target="https://docs.zpesystems.com/docs/method-ldap-or-ad" TargetMode="External" /><Relationship Type="http://schemas.openxmlformats.org/officeDocument/2006/relationships/hyperlink" Id="rId67" Target="https://docs.zpesystems.com/docs/sso-sub-tab" TargetMode="External" /><Relationship Type="http://schemas.openxmlformats.org/officeDocument/2006/relationships/hyperlink" Id="rId65" Target="https://docs.zpesystems.com/zpe-cloud/docs/configure-sso-with-azure-ad" TargetMode="External" /><Relationship Type="http://schemas.openxmlformats.org/officeDocument/2006/relationships/hyperlink" Id="rId73" Target="https://docs.zpesystems.com/zpe-cloud/docs/sso-tab" TargetMode="External" /><Relationship Type="http://schemas.openxmlformats.org/officeDocument/2006/relationships/hyperlink" Id="rId49" Target="https://redfish.redoc.ly/docs/redfishservices/ilos/ilo5/ilo5_278/ilo5_hpe_resourcedefns278/" TargetMode="External" /><Relationship Type="http://schemas.openxmlformats.org/officeDocument/2006/relationships/hyperlink" Id="rId61" Target="https://servermanagementportal.ext.hpe.com/docs" TargetMode="External" /><Relationship Type="http://schemas.openxmlformats.org/officeDocument/2006/relationships/hyperlink" Id="rId57" Target="https://servermanagementportal.ext.hpe.com/docs/concepts" TargetMode="External" /><Relationship Type="http://schemas.openxmlformats.org/officeDocument/2006/relationships/hyperlink" Id="rId59" Target="https://servermanagementportal.ext.hpe.com/docs/redfishservices/ilos/supplementdocuments/managingusers" TargetMode="External" /><Relationship Type="http://schemas.openxmlformats.org/officeDocument/2006/relationships/hyperlink" Id="rId45" Target="https://support.hpe.com/hpesc/public/docDisplay?docId=a00018320en_us&amp;page=GUID-966B4429-96E8-47A3-87AD-1DBCD0516E84.html&amp;docLocale=en_US" TargetMode="External" /><Relationship Type="http://schemas.openxmlformats.org/officeDocument/2006/relationships/hyperlink" Id="rId51" Target="https://support.hpe.com/hpesc/public/docDisplay?docId=sd00002198en_us&amp;page=GUID-E719CD70-69E4-4E2A-B8E1-EA6A80D55E0D.html&amp;docLocale=en_US" TargetMode="External" /><Relationship Type="http://schemas.openxmlformats.org/officeDocument/2006/relationships/hyperlink" Id="rId77" Target="https://support.hpe.com/hpesc/public/docDisplay?docId=sd00003499en_us&amp;page=GUID-D7147C7F-2016-0901-066E-0000000032EE.html&amp;docLocale=en_US" TargetMode="External" /><Relationship Type="http://schemas.openxmlformats.org/officeDocument/2006/relationships/hyperlink" Id="rId79" Target="https://support.hpe.com/hpesc/public/docDisplay?docId=sd00003904en_us&amp;page=GUID-D7147C7F-2016-0901-066E-0000000047C0.html&amp;docLocale=en_US" TargetMode="External" /><Relationship Type="http://schemas.openxmlformats.org/officeDocument/2006/relationships/hyperlink" Id="rId53" Target="https://support.hpe.com/hpesc/public/docDisplay?docId=sd00005250en_us&amp;page=s_security-mapping-roles.html&amp;docLocale=en_US" TargetMode="External" /><Relationship Type="http://schemas.openxmlformats.org/officeDocument/2006/relationships/hyperlink" Id="rId75" Target="https://support.hpe.com/hpesc/public/docDisplay?docId=sd00006049en_us&amp;page=s_server-hardware-mgmt-effects.html&amp;docLocale=en_US" TargetMode="External" /><Relationship Type="http://schemas.openxmlformats.org/officeDocument/2006/relationships/hyperlink" Id="rId63" Target="https://support.zpesystems.com/portal/en/kb/articles/how-to-configure-single-sign-on-authentication-in-nodegrid-using-duo" TargetMode="External" /><Relationship Type="http://schemas.openxmlformats.org/officeDocument/2006/relationships/hyperlink" Id="rId41" Target="https://www.pingidentity.com/en/resources/blog/post/the-scoop-on-strong-customer-authentication-sca.html" TargetMode="External" /><Relationship Type="http://schemas.openxmlformats.org/officeDocument/2006/relationships/hyperlink" Id="rId47" Target="https://www.tenable.com/plugins/nessus/72877" TargetMode="External" /><Relationship Type="http://schemas.openxmlformats.org/officeDocument/2006/relationships/hyperlink" Id="rId71" Target="https://www.youtube.com/watch?v=naMajDEJmLU" TargetMode="External" /><Relationship Type="http://schemas.openxmlformats.org/officeDocument/2006/relationships/hyperlink" Id="rId69" Target="https://zpesystems.com/company/single-sign-on-with-nodegri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2026-09-03T16:52:16Z</dcterms:created>
  <dcterms:modified xsi:type="dcterms:W3CDTF">2026-09-03T16:52:16Z</dcterms:modified>
</cp:coreProperties>
</file>

<file path=docProps/custom.xml><?xml version="1.0" encoding="utf-8"?>
<Properties xmlns="http://schemas.openxmlformats.org/officeDocument/2006/custom-properties" xmlns:vt="http://schemas.openxmlformats.org/officeDocument/2006/docPropsVTypes"/>
</file>